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26C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26C77" w:rsidRDefault="00C53F8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  <w:lang w:eastAsia="ja-JP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C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26C77" w:rsidRDefault="00C53F87">
            <w:pPr>
              <w:pStyle w:val="ConsPlusTitlePage0"/>
              <w:jc w:val="center"/>
            </w:pPr>
            <w:r>
              <w:rPr>
                <w:sz w:val="48"/>
              </w:rPr>
              <w:t>Постановление Комитета по ценам и тарифам Правительства Хабаровского края от 28.11.2022 N 48/1</w:t>
            </w:r>
            <w:r>
              <w:rPr>
                <w:sz w:val="48"/>
              </w:rPr>
              <w:br/>
              <w:t>(ред. от 21.12.2022)</w:t>
            </w:r>
            <w:r>
              <w:rPr>
                <w:sz w:val="48"/>
              </w:rPr>
              <w:br/>
              <w:t xml:space="preserve">"Об установлении размера единых стандартизированных тарифных ставок и формул платы за технологическое присоединение </w:t>
            </w:r>
            <w:proofErr w:type="spellStart"/>
            <w:r>
              <w:rPr>
                <w:sz w:val="48"/>
              </w:rPr>
              <w:t>энергопринимающих</w:t>
            </w:r>
            <w:proofErr w:type="spellEnd"/>
            <w:r>
              <w:rPr>
                <w:sz w:val="48"/>
              </w:rPr>
              <w:t xml:space="preserve"> устройств потребителей к электрическим сетям для всех территориальных сетевых организаций на территории Хабаровского края на 2023 год"</w:t>
            </w:r>
          </w:p>
        </w:tc>
      </w:tr>
      <w:tr w:rsidR="00A26C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26C77" w:rsidRDefault="00C53F87" w:rsidP="00C53F8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A26C77" w:rsidRDefault="00A26C77">
      <w:pPr>
        <w:pStyle w:val="ConsPlusNormal0"/>
        <w:sectPr w:rsidR="00A26C7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26C77" w:rsidRDefault="00A26C77">
      <w:pPr>
        <w:pStyle w:val="ConsPlusNormal0"/>
        <w:jc w:val="both"/>
        <w:outlineLvl w:val="0"/>
      </w:pPr>
    </w:p>
    <w:p w:rsidR="00A26C77" w:rsidRDefault="00C53F87">
      <w:pPr>
        <w:pStyle w:val="ConsPlusTitle0"/>
        <w:jc w:val="center"/>
        <w:outlineLvl w:val="0"/>
      </w:pPr>
      <w:r>
        <w:t>КОМИТЕТ ПО ЦЕНАМ И ТАРИФАМ ПРАВИТЕЛЬСТВА ХАБАРОВСКОГО КРАЯ</w:t>
      </w:r>
    </w:p>
    <w:p w:rsidR="00A26C77" w:rsidRDefault="00A26C77">
      <w:pPr>
        <w:pStyle w:val="ConsPlusTitle0"/>
        <w:jc w:val="center"/>
      </w:pPr>
    </w:p>
    <w:p w:rsidR="00A26C77" w:rsidRDefault="00C53F87">
      <w:pPr>
        <w:pStyle w:val="ConsPlusTitle0"/>
        <w:jc w:val="center"/>
      </w:pPr>
      <w:r>
        <w:t>ПОСТАНОВЛЕНИЕ</w:t>
      </w:r>
    </w:p>
    <w:p w:rsidR="00A26C77" w:rsidRDefault="00C53F87">
      <w:pPr>
        <w:pStyle w:val="ConsPlusTitle0"/>
        <w:jc w:val="center"/>
      </w:pPr>
      <w:r>
        <w:t>от 28 ноября 2022 г. N 48/1</w:t>
      </w:r>
    </w:p>
    <w:p w:rsidR="00A26C77" w:rsidRDefault="00A26C77">
      <w:pPr>
        <w:pStyle w:val="ConsPlusTitle0"/>
        <w:jc w:val="center"/>
      </w:pPr>
    </w:p>
    <w:p w:rsidR="00A26C77" w:rsidRDefault="00C53F87">
      <w:pPr>
        <w:pStyle w:val="ConsPlusTitle0"/>
        <w:jc w:val="center"/>
      </w:pPr>
      <w:r>
        <w:t>ОБ УСТАНОВЛЕНИИ РАЗМЕРА ЕДИНЫХ СТАНДАРТИЗИРОВАННЫХ ТАРИФНЫХ</w:t>
      </w:r>
    </w:p>
    <w:p w:rsidR="00A26C77" w:rsidRDefault="00C53F87">
      <w:pPr>
        <w:pStyle w:val="ConsPlusTitle0"/>
        <w:jc w:val="center"/>
      </w:pPr>
      <w:r>
        <w:t>СТАВОК И ФОРМУЛ ПЛАТЫ ЗА ТЕХНОЛОГИЧЕСКОЕ ПРИСОЕДИНЕНИЕ</w:t>
      </w:r>
    </w:p>
    <w:p w:rsidR="00A26C77" w:rsidRDefault="00C53F87">
      <w:pPr>
        <w:pStyle w:val="ConsPlusTitle0"/>
        <w:jc w:val="center"/>
      </w:pPr>
      <w:r>
        <w:t>ЭНЕРГОПРИНИМАЮЩИХ УСТРОЙСТВ ПОТРЕБИТЕЛЕЙ К ЭЛЕКТРИЧЕСКИМ</w:t>
      </w:r>
    </w:p>
    <w:p w:rsidR="00A26C77" w:rsidRDefault="00C53F87">
      <w:pPr>
        <w:pStyle w:val="ConsPlusTitle0"/>
        <w:jc w:val="center"/>
      </w:pPr>
      <w:r>
        <w:t>СЕТЯМ ДЛЯ ВСЕХ ТЕРРИТОРИАЛЬНЫХ СЕТЕВЫХ ОРГАНИЗАЦИЙ</w:t>
      </w:r>
    </w:p>
    <w:p w:rsidR="00A26C77" w:rsidRDefault="00C53F87">
      <w:pPr>
        <w:pStyle w:val="ConsPlusTitle0"/>
        <w:jc w:val="center"/>
      </w:pPr>
      <w:r>
        <w:t>НА ТЕРРИТОРИИ ХАБАРОВСКОГО КРАЯ НА 2023 ГОД</w:t>
      </w:r>
    </w:p>
    <w:p w:rsidR="00A26C77" w:rsidRDefault="00A26C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A26C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77" w:rsidRDefault="00A26C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77" w:rsidRDefault="00A26C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6C77" w:rsidRDefault="00C53F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6C77" w:rsidRDefault="00C53F8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Комитета по ценам и тарифам Правительства Хабаровского</w:t>
            </w:r>
          </w:p>
          <w:p w:rsidR="00A26C77" w:rsidRDefault="00C53F87">
            <w:pPr>
              <w:pStyle w:val="ConsPlusNormal0"/>
              <w:jc w:val="center"/>
            </w:pPr>
            <w:r>
              <w:rPr>
                <w:color w:val="392C69"/>
              </w:rPr>
              <w:t xml:space="preserve">края от 14.12.2022 </w:t>
            </w:r>
            <w:hyperlink r:id="rId9" w:tooltip="Постановление Комитета по ценам и тарифам Правительства Хабаровского края от 14.12.2022 N 51/9 &quot;О внесении изменения в постановление комитета по ценам и тарифам Правительства Хабаровского края от 28 ноября 2022 г. N 48/1 &quot;Об установлении размера единых стандар">
              <w:r>
                <w:rPr>
                  <w:color w:val="0000FF"/>
                </w:rPr>
                <w:t>N 51/9</w:t>
              </w:r>
            </w:hyperlink>
            <w:r>
              <w:rPr>
                <w:color w:val="392C69"/>
              </w:rPr>
              <w:t xml:space="preserve">, от 21.12.2022 </w:t>
            </w:r>
            <w:hyperlink r:id="rId10" w:tooltip="Постановление Комитета по ценам и тарифам Правительства Хабаровского края от 21.12.2022 N 52/1 &quot;О внесении изменения в постановление комитета по ценам и тарифам Правительства Хабаровского края от 28 ноября 2022 г. N 48/1 &quot;Об установлении размера единых стандар">
              <w:r>
                <w:rPr>
                  <w:color w:val="0000FF"/>
                </w:rPr>
                <w:t>N 52/1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77" w:rsidRDefault="00A26C77">
            <w:pPr>
              <w:pStyle w:val="ConsPlusNormal0"/>
            </w:pPr>
          </w:p>
        </w:tc>
      </w:tr>
    </w:tbl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26.03.2003 N 35-ФЗ (ред. от 21.11.2022) &quot;Об электроэнергетике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26 марта 2003 г. N 35-ФЗ "Об электроэнергетике", постановлениями Правительства Российской Федерации от 27 декабря 2004 г. </w:t>
      </w:r>
      <w:hyperlink r:id="rId12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N 861</w:t>
        </w:r>
      </w:hyperlink>
      <w:r>
        <w:t xml:space="preserve">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от 29 декабря 2011 г. </w:t>
      </w:r>
      <w:hyperlink r:id="rId13" w:tooltip="Постановление Правительства РФ от 29.12.2011 N 1178 (ред. от 09.12.2022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">
        <w:r>
          <w:rPr>
            <w:color w:val="0000FF"/>
          </w:rPr>
          <w:t>N 1178</w:t>
        </w:r>
      </w:hyperlink>
      <w:r>
        <w:t xml:space="preserve"> "О ценообразовании в области регулируемых цен (тарифов) в электроэнергетике", от 14 ноября 2022 г. </w:t>
      </w:r>
      <w:hyperlink r:id="rId14" w:tooltip="Постановление Правительства РФ от 14.11.2022 N 2053 &quot;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2053</w:t>
        </w:r>
      </w:hyperlink>
      <w:r>
        <w:t xml:space="preserve"> "Об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Федерации", </w:t>
      </w:r>
      <w:hyperlink r:id="rId15" w:tooltip="Приказ ФСТ России от 06.08.2004 N 20-э/2 (ред. от 15.02.2022) &quot;Об утверждении Методических указаний по расчету регулируемых тарифов и цен на электрическую (тепловую) энергию на розничном (потребительском) рынке&quot; (Зарегистрировано в Минюсте России 20.10.2004 N ">
        <w:r>
          <w:rPr>
            <w:color w:val="0000FF"/>
          </w:rPr>
          <w:t>Приказом</w:t>
        </w:r>
      </w:hyperlink>
      <w:r>
        <w:t xml:space="preserve"> ФСТ России от 6 августа 2004 г.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рынке", приказами ФАС России от 10 марта 2022 г. </w:t>
      </w:r>
      <w:hyperlink r:id="rId16" w:tooltip="Приказ ФАС России от 10.03.2022 N 196/22 &quot;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">
        <w:r>
          <w:rPr>
            <w:color w:val="0000FF"/>
          </w:rPr>
          <w:t>N 196/22</w:t>
        </w:r>
      </w:hyperlink>
      <w:r>
        <w:t xml:space="preserve">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тарифов", от 30 июня 2022 г. </w:t>
      </w:r>
      <w:hyperlink r:id="rId17" w:tooltip="Приказ ФАС России от 30.06.2022 N 490/22 &quot;Об утверждении Методических указаний по определению размера платы за технологическое присоединение к электрическим сетям&quot; (Зарегистрировано в Минюсте России 19.08.2022 N 69710) {КонсультантПлюс}">
        <w:r>
          <w:rPr>
            <w:color w:val="0000FF"/>
          </w:rPr>
          <w:t>N 490/22</w:t>
        </w:r>
      </w:hyperlink>
      <w:r>
        <w:t xml:space="preserve"> "Об утверждении Методических указаний по определению размера платы за технологическое присоединение к электрическим сетям", </w:t>
      </w:r>
      <w:hyperlink r:id="rId18" w:tooltip="Постановление Правительства Хабаровского края от 04.06.2010 N 142-пр (ред. от 06.04.2021) &quot;Об утверждении Положения о комитете по ценам и тарифам Правительства Хабаров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4 июня 2010 г. N 142-пр "Об утверждении Положения о комитете по ценам и тарифам Правительства Хабаровского края" комитет по ценам и тарифам Правительства Хабаровского края постановляет:</w:t>
      </w:r>
    </w:p>
    <w:p w:rsidR="00A26C77" w:rsidRDefault="00C53F87">
      <w:pPr>
        <w:pStyle w:val="ConsPlusNormal0"/>
        <w:spacing w:before="200"/>
        <w:ind w:firstLine="540"/>
        <w:jc w:val="both"/>
      </w:pPr>
      <w:bookmarkStart w:id="1" w:name="P16"/>
      <w:bookmarkEnd w:id="1"/>
      <w:r>
        <w:t>1. Установить: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1) льготную ставку за 1 кВт запрашиваемой максимальной мощности при технологическом присоединении объектов </w:t>
      </w:r>
      <w:proofErr w:type="spellStart"/>
      <w:r>
        <w:t>микрогенерации</w:t>
      </w:r>
      <w:proofErr w:type="spellEnd"/>
      <w:r>
        <w:t xml:space="preserve"> (за исключением случаев подачи заявки Заявителем - юридическим лицом или индивидуальным предпринимателем в целях одновременного присоединения </w:t>
      </w:r>
      <w:proofErr w:type="spellStart"/>
      <w:r>
        <w:t>энергопринимающих</w:t>
      </w:r>
      <w:proofErr w:type="spellEnd"/>
      <w:r>
        <w:t xml:space="preserve"> устройств и объектов </w:t>
      </w:r>
      <w:proofErr w:type="spellStart"/>
      <w:r>
        <w:t>микрогенерации</w:t>
      </w:r>
      <w:proofErr w:type="spellEnd"/>
      <w:r>
        <w:t xml:space="preserve">), в том числе при одновременном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и объектов </w:t>
      </w:r>
      <w:proofErr w:type="spellStart"/>
      <w:r>
        <w:t>микрогенерации</w:t>
      </w:r>
      <w:proofErr w:type="spellEnd"/>
      <w:r>
        <w:t xml:space="preserve">, а также </w:t>
      </w:r>
      <w:proofErr w:type="spellStart"/>
      <w:r>
        <w:t>энергопринимающих</w:t>
      </w:r>
      <w:proofErr w:type="spellEnd"/>
      <w:r>
        <w:t xml:space="preserve">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за исключением случаев, указанных в </w:t>
      </w:r>
      <w:hyperlink w:anchor="P27" w:tooltip="2) льготную ставку за 1 кВт запрашиваемой максимальной мощности при технологическом присоединении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">
        <w:r>
          <w:rPr>
            <w:color w:val="0000FF"/>
          </w:rPr>
          <w:t>подпункте 2) пункта 1</w:t>
        </w:r>
      </w:hyperlink>
      <w:r>
        <w:t xml:space="preserve"> настоящего постановления, устанавливаемая в отношении всей совокупности мероприятий по технологическому присоединению, при присоединении </w:t>
      </w: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 xml:space="preserve">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 заявителю класса напряжения, в которую подана заявка, составляет не более 300 метров в городах и поселках городского типа и не более 500 метров в сельской местности: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lastRenderedPageBreak/>
        <w:t>- с 1 декабря 2022 г. по 31 декабря 2022 г. - в размере 3000 руб./кВт;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января 2023 г. по 30 июня 2023 г. - в размере 3 192 руб./кВт;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июля 2023 г. по 31 декабря 2023 г. - в размере 4 256 руб./кВт.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Плата за технологическое присоединение определяется в размере минимального из следующих значений: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стоимость мероприятий по технологическому присоединению, рассчитанная с применением стандартизированных тарифных ставок;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стоимость мероприятий по технологическому присоединению, рассчитанная с применением льготной ставки за 1 кВт запрашиваемой максимальной мощности: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декабря 2022 г. по 31 декабря 2022 г. - в размере 3000 руб./кВт;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января 2023 г. по 30 июня 2023 г. - в размере 3 192 руб./кВт;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июля 2023 г. по 31 декабря 2023 г. - в размере 4 256 руб./кВт.</w:t>
      </w:r>
    </w:p>
    <w:p w:rsidR="00A26C77" w:rsidRDefault="00C53F87">
      <w:pPr>
        <w:pStyle w:val="ConsPlusNormal0"/>
        <w:spacing w:before="200"/>
        <w:ind w:firstLine="540"/>
        <w:jc w:val="both"/>
      </w:pPr>
      <w:bookmarkStart w:id="2" w:name="P27"/>
      <w:bookmarkEnd w:id="2"/>
      <w:r>
        <w:t xml:space="preserve">2) льготную ставку за 1 кВт запрашиваемой максимальной мощности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владеющих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объектов </w:t>
      </w:r>
      <w:proofErr w:type="spellStart"/>
      <w:r>
        <w:t>микрогенерации</w:t>
      </w:r>
      <w:proofErr w:type="spellEnd"/>
      <w:r>
        <w:t xml:space="preserve">, в том числе за одновременное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и объектов </w:t>
      </w:r>
      <w:proofErr w:type="spellStart"/>
      <w:r>
        <w:t>микрогенерации</w:t>
      </w:r>
      <w:proofErr w:type="spellEnd"/>
      <w:r>
        <w:t xml:space="preserve">, при заключении договора членом малообеспеченной семьи (одиноко проживающим гражданином), среднедушевой доход которой (доход которого) ниже величины прожиточного минимума, определенной в соответствии со </w:t>
      </w:r>
      <w:hyperlink r:id="rId19" w:tooltip="Федеральный закон от 24.10.1997 N 134-ФЗ (ред. от 29.12.2020, с изм. от 05.12.2022) &quot;О прожиточном минимуме в Российской Федераци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24 октября 1997 г. N 134-ФЗ "О прожиточном минимуме в Российской Федерации", а также лицами, указанными в </w:t>
      </w:r>
      <w:hyperlink r:id="rId20" w:tooltip="Закон РФ от 15.05.1991 N 1244-1 (ред. от 28.12.2022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статье 14</w:t>
        </w:r>
      </w:hyperlink>
      <w:r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АЭС", в </w:t>
      </w:r>
      <w:hyperlink r:id="rId21" w:tooltip="Федеральный закон от 12.01.1995 N 5-ФЗ (ред. от 28.12.2022) &quot;О ветеранах&quot; {КонсультантПлюс}">
        <w:r>
          <w:rPr>
            <w:color w:val="0000FF"/>
          </w:rPr>
          <w:t>статьях 14</w:t>
        </w:r>
      </w:hyperlink>
      <w:r>
        <w:t xml:space="preserve"> - </w:t>
      </w:r>
      <w:hyperlink r:id="rId22" w:tooltip="Федеральный закон от 12.01.1995 N 5-ФЗ (ред. от 28.12.2022) &quot;О ветеранах&quot; {КонсультантПлюс}">
        <w:r>
          <w:rPr>
            <w:color w:val="0000FF"/>
          </w:rPr>
          <w:t>16</w:t>
        </w:r>
      </w:hyperlink>
      <w:r>
        <w:t xml:space="preserve">, </w:t>
      </w:r>
      <w:hyperlink r:id="rId23" w:tooltip="Федеральный закон от 12.01.1995 N 5-ФЗ (ред. от 28.12.2022) &quot;О ветеранах&quot; {КонсультантПлюс}">
        <w:r>
          <w:rPr>
            <w:color w:val="0000FF"/>
          </w:rPr>
          <w:t>18</w:t>
        </w:r>
      </w:hyperlink>
      <w:r>
        <w:t xml:space="preserve"> и </w:t>
      </w:r>
      <w:hyperlink r:id="rId24" w:tooltip="Федеральный закон от 12.01.1995 N 5-ФЗ (ред. от 28.12.2022) &quot;О ветеранах&quot; {КонсультантПлюс}">
        <w:r>
          <w:rPr>
            <w:color w:val="0000FF"/>
          </w:rPr>
          <w:t>21</w:t>
        </w:r>
      </w:hyperlink>
      <w:r>
        <w:t xml:space="preserve"> Федерального закона от 12 января 1995 г. N 5-ФЗ "О ветеранах", </w:t>
      </w:r>
      <w:hyperlink r:id="rId25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color w:val="0000FF"/>
          </w:rPr>
          <w:t>статье 17</w:t>
        </w:r>
      </w:hyperlink>
      <w:r>
        <w:t xml:space="preserve"> Федерального закона от 24 ноября 1995 г. N 181-ФЗ "О социальной защите инвалидов в Российской Федерации", </w:t>
      </w:r>
      <w:hyperlink r:id="rId26" w:tooltip="Федеральный закон от 26.11.1998 N 175-ФЗ (ред. от 28.12.2022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статье 1</w:t>
        </w:r>
      </w:hyperlink>
      <w:r>
        <w:t xml:space="preserve"> Федерального закона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", </w:t>
      </w:r>
      <w:hyperlink r:id="rId27" w:tooltip="Федеральный закон от 10.01.2002 N 2-ФЗ (ред. от 28.12.2022) &quot;О социальных гарантиях гражданам, подвергшимся радиационному воздействию вследствие ядерных испытаний на Семипалатинском полигоне&quot; {КонсультантПлюс}">
        <w:r>
          <w:rPr>
            <w:color w:val="0000FF"/>
          </w:rPr>
          <w:t>статье 2</w:t>
        </w:r>
      </w:hyperlink>
      <w:r>
        <w:t xml:space="preserve"> Федерального закона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полигоне", </w:t>
      </w:r>
      <w:hyperlink r:id="rId2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части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hyperlink r:id="rId29" w:tooltip="Указ Президента РФ от 05.05.1992 N 431 (ред. от 25.02.2003) &quot;О мерах по социальной поддержке многодетных семей&quot; {КонсультантПлюс}">
        <w:r>
          <w:rPr>
            <w:color w:val="0000FF"/>
          </w:rPr>
          <w:t>Указе</w:t>
        </w:r>
      </w:hyperlink>
      <w:r>
        <w:t xml:space="preserve"> Президента Российской Федерации от 5 мая 1992 г. N 431 "О мерах по социальной поддержке многодетных семей", </w:t>
      </w:r>
      <w:hyperlink r:id="rId30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 {Кон">
        <w:r>
          <w:rPr>
            <w:color w:val="0000FF"/>
          </w:rPr>
          <w:t>пункте 1</w:t>
        </w:r>
      </w:hyperlink>
      <w:r>
        <w:t xml:space="preserve"> и </w:t>
      </w:r>
      <w:hyperlink r:id="rId31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 {Кон">
        <w:r>
          <w:rPr>
            <w:color w:val="0000FF"/>
          </w:rPr>
          <w:t>абзаце четвертом пункта 2</w:t>
        </w:r>
      </w:hyperlink>
      <w:r>
        <w:t xml:space="preserve"> Постановления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риска", устанавливаемая в отношении всей совокупности мероприятий по технологическому присоединению: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декабря 2022 г. по 31 декабря 2022 г. - в размере 1000 руб./кВт;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января 2023 г. по 31 декабря 2023 г. - в размере 1 064 руб./кВт.</w:t>
      </w:r>
    </w:p>
    <w:p w:rsidR="00A26C77" w:rsidRDefault="00C53F87">
      <w:pPr>
        <w:pStyle w:val="ConsPlusNormal0"/>
        <w:spacing w:before="200"/>
        <w:ind w:firstLine="540"/>
        <w:jc w:val="both"/>
      </w:pPr>
      <w:bookmarkStart w:id="3" w:name="P30"/>
      <w:bookmarkEnd w:id="3"/>
      <w:r>
        <w:t xml:space="preserve">2. Установить единые стандартизированные тарифные </w:t>
      </w:r>
      <w:hyperlink w:anchor="P80" w:tooltip="Стандартизированная тарифная ставка на покрытие расходов">
        <w:r>
          <w:rPr>
            <w:color w:val="0000FF"/>
          </w:rPr>
          <w:t>ставки</w:t>
        </w:r>
      </w:hyperlink>
      <w:r>
        <w:t xml:space="preserve">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</w:t>
      </w:r>
      <w:r>
        <w:lastRenderedPageBreak/>
        <w:t>организаций на территории Хабаровского края на 2023 год согласно приложению 1 к настоящему постановлению.</w:t>
      </w:r>
    </w:p>
    <w:p w:rsidR="00A26C77" w:rsidRDefault="00C53F87">
      <w:pPr>
        <w:pStyle w:val="ConsPlusNormal0"/>
        <w:spacing w:before="200"/>
        <w:ind w:firstLine="540"/>
        <w:jc w:val="both"/>
      </w:pPr>
      <w:bookmarkStart w:id="4" w:name="P31"/>
      <w:bookmarkEnd w:id="4"/>
      <w:r>
        <w:t xml:space="preserve">3. Установить </w:t>
      </w:r>
      <w:hyperlink w:anchor="P419" w:tooltip="ФОРМУЛЫ ПЛАТЫ ЗА ТЕХНОЛОГИЧЕСКОЕ ПРИСОЕДИНЕНИЕ">
        <w:r>
          <w:rPr>
            <w:color w:val="0000FF"/>
          </w:rPr>
          <w:t>формулы</w:t>
        </w:r>
      </w:hyperlink>
      <w:r>
        <w:t xml:space="preserve">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территориальных сетевых организаций на территории Хабаровского края на 2023 год согласно приложению 2 к настоящему постановлению.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4. Размер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определяется с учетом запрашиваемой Заявителем категории надежности электроснабжения.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В случае подачи заявки юридическим лицом или индивидуальным предпринимателем в целях технологического присоединения объектов </w:t>
      </w:r>
      <w:proofErr w:type="spellStart"/>
      <w:r>
        <w:t>микрогенерации</w:t>
      </w:r>
      <w:proofErr w:type="spellEnd"/>
      <w:r>
        <w:t xml:space="preserve">, а также одновременного технологического присоединения объектов </w:t>
      </w:r>
      <w:proofErr w:type="spellStart"/>
      <w:r>
        <w:t>микрогенерации</w:t>
      </w:r>
      <w:proofErr w:type="spellEnd"/>
      <w:r>
        <w:t xml:space="preserve"> и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 не более 150 кВт (с 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</w:t>
      </w:r>
      <w:proofErr w:type="spellStart"/>
      <w:r>
        <w:t>энергопринимающих</w:t>
      </w:r>
      <w:proofErr w:type="spellEnd"/>
      <w:r>
        <w:t xml:space="preserve"> устройств и (или) объектов </w:t>
      </w:r>
      <w:proofErr w:type="spellStart"/>
      <w:r>
        <w:t>микрогенерации</w:t>
      </w:r>
      <w:proofErr w:type="spellEnd"/>
      <w:r>
        <w:t xml:space="preserve">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местности, в состав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не включаются расходы, связанные со строительством объектов электросетевого хозяйства - от существующих объектов электросетевого хозяйства до присоединяемых </w:t>
      </w:r>
      <w:proofErr w:type="spellStart"/>
      <w:r>
        <w:t>энергопринимающих</w:t>
      </w:r>
      <w:proofErr w:type="spellEnd"/>
      <w:r>
        <w:t xml:space="preserve"> устройств и (или) объектов электроэнергетики, а стоимость мероприятий по технологическому присоединению объектов </w:t>
      </w:r>
      <w:proofErr w:type="spellStart"/>
      <w:r>
        <w:t>микрогенерации</w:t>
      </w:r>
      <w:proofErr w:type="spellEnd"/>
      <w:r>
        <w:t xml:space="preserve"> и (или) </w:t>
      </w:r>
      <w:proofErr w:type="spellStart"/>
      <w:r>
        <w:t>энергопринимающих</w:t>
      </w:r>
      <w:proofErr w:type="spellEnd"/>
      <w:r>
        <w:t xml:space="preserve"> устройств определяется в размере минимального из следующих значений: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стоимость мероприятий по технологическому присоединению, рассчитанная с применением стандартизированных тарифных ставок,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стоимость мероприятий по технологическому присоединению, рассчитанная с применением льготной ставки за 1 кВт запрашиваемой максимальной мощности: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декабря 2022 г. по 31 декабря 2022 г. - в размере 3000 руб./кВт;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января 2023 г. по 30 июня 2023 г. - в размере 3 192 руб./кВт;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с 1 июля 2023 г. по 31 декабря 2023 г. - в размере 4 256 руб./кВт.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С 1 июля 2022 г. по 31 декабря 2022 г. размер включаемой в состав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>
        <w:t>энергопринимающих</w:t>
      </w:r>
      <w:proofErr w:type="spellEnd"/>
      <w:r>
        <w:t xml:space="preserve"> устройств и (или) объектов электроэнергетики составляет 50 процентов величины указанных расходов с учетом особенностей, установленных </w:t>
      </w:r>
      <w:hyperlink r:id="rId32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абзацами первым</w:t>
        </w:r>
      </w:hyperlink>
      <w:r>
        <w:t xml:space="preserve"> - </w:t>
      </w:r>
      <w:hyperlink r:id="rId33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двадцать вторым</w:t>
        </w:r>
      </w:hyperlink>
      <w:r>
        <w:t xml:space="preserve"> и </w:t>
      </w:r>
      <w:hyperlink r:id="rId34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двадцать шестым пункта 17</w:t>
        </w:r>
      </w:hyperlink>
      <w:r>
        <w:t xml:space="preserve">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 (далее - Правила N 861).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В отношении </w:t>
      </w:r>
      <w:proofErr w:type="spellStart"/>
      <w:r>
        <w:t>энергопринимающих</w:t>
      </w:r>
      <w:proofErr w:type="spellEnd"/>
      <w:r>
        <w:t xml:space="preserve"> устройств заявителей, указанных в </w:t>
      </w:r>
      <w:hyperlink r:id="rId35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пункте 12(1)</w:t>
        </w:r>
      </w:hyperlink>
      <w:r>
        <w:t xml:space="preserve"> Правил N 861, присоединяемых по третьей категории надежности (по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</w:t>
      </w:r>
      <w:proofErr w:type="spellStart"/>
      <w:r>
        <w:t>энергопринимающих</w:t>
      </w:r>
      <w:proofErr w:type="spellEnd"/>
      <w:r>
        <w:t xml:space="preserve">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местности, в состав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не включаются расходы, связанные со строительством объектов электросетевого хозяйства - от существующих объектов электросетевого хозяйства до присоединяемых </w:t>
      </w:r>
      <w:proofErr w:type="spellStart"/>
      <w:r>
        <w:t>энергопринимающих</w:t>
      </w:r>
      <w:proofErr w:type="spellEnd"/>
      <w:r>
        <w:t xml:space="preserve"> устройств и (или) объектов электроэнергетики.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5. Положения о размере платы за технологическое присоединение, указанные в </w:t>
      </w:r>
      <w:hyperlink r:id="rId36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абзацах первом</w:t>
        </w:r>
      </w:hyperlink>
      <w:r>
        <w:t xml:space="preserve"> - </w:t>
      </w:r>
      <w:hyperlink r:id="rId37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двадцать втором</w:t>
        </w:r>
      </w:hyperlink>
      <w:r>
        <w:t xml:space="preserve"> и </w:t>
      </w:r>
      <w:hyperlink r:id="rId38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двадцать шестом пункта 17</w:t>
        </w:r>
      </w:hyperlink>
      <w:r>
        <w:t xml:space="preserve"> Правил N 861, не могут быть применены в следующих случаях: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lastRenderedPageBreak/>
        <w:t xml:space="preserve">а)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(объектов </w:t>
      </w:r>
      <w:proofErr w:type="spellStart"/>
      <w:r>
        <w:t>микрогенерации</w:t>
      </w:r>
      <w:proofErr w:type="spellEnd"/>
      <w:r>
        <w:t>),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строительства) предоставлены на срок не более одного года;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б)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(объектов </w:t>
      </w:r>
      <w:proofErr w:type="spellStart"/>
      <w:r>
        <w:t>микрогенерации</w:t>
      </w:r>
      <w:proofErr w:type="spellEnd"/>
      <w:r>
        <w:t>), расположенных в жилых помещениях многоквартирных домов;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в) при технологическом присоединении в границах территории субъекта Российской Федерации </w:t>
      </w:r>
      <w:proofErr w:type="spellStart"/>
      <w:r>
        <w:t>энергопринимающих</w:t>
      </w:r>
      <w:proofErr w:type="spellEnd"/>
      <w:r>
        <w:t xml:space="preserve"> устройств (объектов </w:t>
      </w:r>
      <w:proofErr w:type="spellStart"/>
      <w:r>
        <w:t>микрогенерации</w:t>
      </w:r>
      <w:proofErr w:type="spellEnd"/>
      <w:r>
        <w:t xml:space="preserve">), соответствующих критериям, указанным в </w:t>
      </w:r>
      <w:hyperlink r:id="rId39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абзацах первом</w:t>
        </w:r>
      </w:hyperlink>
      <w:r>
        <w:t xml:space="preserve">, </w:t>
      </w:r>
      <w:hyperlink r:id="rId40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четвертом</w:t>
        </w:r>
      </w:hyperlink>
      <w:r>
        <w:t xml:space="preserve">, </w:t>
      </w:r>
      <w:hyperlink r:id="rId41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пятом</w:t>
        </w:r>
      </w:hyperlink>
      <w:r>
        <w:t xml:space="preserve">, </w:t>
      </w:r>
      <w:hyperlink r:id="rId42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двадцатом</w:t>
        </w:r>
      </w:hyperlink>
      <w:r>
        <w:t xml:space="preserve"> и </w:t>
      </w:r>
      <w:hyperlink r:id="rId43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двадцать шестом пункта 17</w:t>
        </w:r>
      </w:hyperlink>
      <w:r>
        <w:t xml:space="preserve"> Правил N 861, если лицом, обратившимся с заявкой, ранее уже была подана заявка, которая не была аннулирована в соответствии с </w:t>
      </w:r>
      <w:hyperlink r:id="rId44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Правилами</w:t>
        </w:r>
      </w:hyperlink>
      <w:r>
        <w:t xml:space="preserve"> N 861, или заключен договор в целях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(объектов </w:t>
      </w:r>
      <w:proofErr w:type="spellStart"/>
      <w:r>
        <w:t>микрогенерации</w:t>
      </w:r>
      <w:proofErr w:type="spellEnd"/>
      <w:r>
        <w:t>), соответствующих указанным критериям, расположенных (предполагаемых к расположению в соответствии с поданной заявкой) в границах территории того же субъекта Российской Федерации, при условии, что со дня заключения такого договора не истекло 3 года;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г)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заявителей, указанных в </w:t>
      </w:r>
      <w:hyperlink r:id="rId45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пункте 12(1)</w:t>
        </w:r>
      </w:hyperlink>
      <w:r>
        <w:t xml:space="preserve"> Правил N 861 - юридических лиц или индивидуальных предпринимателей в целях технологического присоединения, максимальная мощность которых составляет до 150 кВт включительно, присоединяемых по третьей категории надежности (по одному источнику электроснабжения) к объектам электросетевого хозяйства сетевой организации на уровне напряжения 0,4 кВ и ниже, при условии, что расстояние от этих </w:t>
      </w:r>
      <w:proofErr w:type="spellStart"/>
      <w:r>
        <w:t>энергопринимающих</w:t>
      </w:r>
      <w:proofErr w:type="spellEnd"/>
      <w:r>
        <w:t xml:space="preserve">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местности, если они расположены (будут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</w:t>
      </w:r>
      <w:proofErr w:type="spellStart"/>
      <w:r>
        <w:t>энергопринимающие</w:t>
      </w:r>
      <w:proofErr w:type="spellEnd"/>
      <w:r>
        <w:t xml:space="preserve"> устройства, в отношении которых ранее уже была подана заявка, которая не была аннулирована в соответствии с </w:t>
      </w:r>
      <w:hyperlink r:id="rId46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Правилами</w:t>
        </w:r>
      </w:hyperlink>
      <w:r>
        <w:t xml:space="preserve"> N 861, или заключен договор, предусматривающий установленные </w:t>
      </w:r>
      <w:hyperlink r:id="rId47" w:tooltip="Постановление Правительства РФ от 27.12.2004 N 861 (ред. от 30.06.2022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>
        <w:r>
          <w:rPr>
            <w:color w:val="0000FF"/>
          </w:rPr>
          <w:t>абзацем двадцать шестым пункта 17</w:t>
        </w:r>
      </w:hyperlink>
      <w:r>
        <w:t xml:space="preserve"> Правил N 861 особенности расчета платы за технологическое присоединение, при условии, что со дня заключения такого договора не истекло 3 года.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6. Ставки и формулы платы, установленные в </w:t>
      </w:r>
      <w:hyperlink w:anchor="P16" w:tooltip="1. Установить:">
        <w:r>
          <w:rPr>
            <w:color w:val="0000FF"/>
          </w:rPr>
          <w:t>пунктах 1</w:t>
        </w:r>
      </w:hyperlink>
      <w:r>
        <w:t xml:space="preserve">, </w:t>
      </w:r>
      <w:hyperlink w:anchor="P30" w:tooltip="2. Установить единые стандартизированные тарифные ставки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 согласно приложени">
        <w:r>
          <w:rPr>
            <w:color w:val="0000FF"/>
          </w:rPr>
          <w:t>2</w:t>
        </w:r>
      </w:hyperlink>
      <w:r>
        <w:t xml:space="preserve">, </w:t>
      </w:r>
      <w:hyperlink w:anchor="P31" w:tooltip="3. Установить формулы платы за технологическое присоединение энергопринимающих устройств потребителей к электрическим сетям территориальных сетевых организаций на территории Хабаровского края на 2023 год согласно приложению 2 к настоящему постановлению.">
        <w:r>
          <w:rPr>
            <w:color w:val="0000FF"/>
          </w:rPr>
          <w:t>3</w:t>
        </w:r>
      </w:hyperlink>
      <w:r>
        <w:t xml:space="preserve"> настоящего постановления, действуют с 1 декабря 2022 г. по 31 декабря 2023 г.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7. Определить размер выпадающих </w:t>
      </w:r>
      <w:hyperlink w:anchor="P469" w:tooltip="ВЫПАДАЮЩИЕ ДОХОДЫ ТЕРРИТОРИАЛЬНЫХ СЕТЕВЫХ ОРГАНИЗАЦИЙ">
        <w:r>
          <w:rPr>
            <w:color w:val="0000FF"/>
          </w:rPr>
          <w:t>доходов</w:t>
        </w:r>
      </w:hyperlink>
      <w:r>
        <w:t xml:space="preserve"> территориальных сетевых организаций на территории Хабаровского края, связанных с осуществлением технологического присоединения к электрическим сетям, включаемых в тариф на оказание услуги по передаче электрической энергии на 2023 год, согласно приложению 3 к настоящему постановлению.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8. Признать с 1 декабря 2022 г. утратившими силу постановления комитета по ценам и тарифам Правительства Хабаровского края: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29 декабря 2021 г. </w:t>
      </w:r>
      <w:hyperlink r:id="rId48" w:tooltip="Постановление Комитета по ценам и тарифам Правительства Хабаровского края от 29.12.2021 N 45/4 (ред. от 28.09.2022) &quot;Об установлении размера единых стандартизированных тарифных ставок и формул платы за технологическое присоединение энергопринимающих устройств ">
        <w:r>
          <w:rPr>
            <w:color w:val="0000FF"/>
          </w:rPr>
          <w:t>N 45/4</w:t>
        </w:r>
      </w:hyperlink>
      <w:r>
        <w:t xml:space="preserve"> "Об установлении размера единых стандартизированных тарифных ставок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26 января 2022 г. </w:t>
      </w:r>
      <w:hyperlink r:id="rId49" w:tooltip="Постановление Комитета по ценам и тарифам Правительства Хабаровского края от 26.01.2022 N 3/5 &quot;О внесении изменения в постановление комитета по ценам и тарифам Правительства Хабаровского края от 29 декабря 2021 г. N 45/4 &quot;Об установлении размера единых стандар">
        <w:r>
          <w:rPr>
            <w:color w:val="0000FF"/>
          </w:rPr>
          <w:t>N 3/5</w:t>
        </w:r>
      </w:hyperlink>
      <w:r>
        <w:t xml:space="preserve"> "О внесении изменения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9 февраля 2022 г. </w:t>
      </w:r>
      <w:hyperlink r:id="rId50" w:tooltip="Постановление Комитета по ценам и тарифам Правительства Хабаровского края от 09.02.2022 N 4/1 &quot;О внесении изменений в постановление комитета по ценам и тарифам Правительства Хабаровского края от 29 декабря 2021 г. N 45/4 &quot;Об установлении размера единых стандар">
        <w:r>
          <w:rPr>
            <w:color w:val="0000FF"/>
          </w:rPr>
          <w:t>N 4/1</w:t>
        </w:r>
      </w:hyperlink>
      <w:r>
        <w:t xml:space="preserve"> "О внесении изменений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lastRenderedPageBreak/>
        <w:t xml:space="preserve">- от 23 марта 2022 г. </w:t>
      </w:r>
      <w:hyperlink r:id="rId51" w:tooltip="Постановление Комитета по ценам и тарифам Правительства Хабаровского края от 23.03.2022 N 9/2 &quot;О внесении изменений в постановление комитета по ценам и тарифам Правительства Хабаровского края от 29 декабря 2021 г. N 45/4 &quot;Об установлении размера единых стандар">
        <w:r>
          <w:rPr>
            <w:color w:val="0000FF"/>
          </w:rPr>
          <w:t>N 9/2</w:t>
        </w:r>
      </w:hyperlink>
      <w:r>
        <w:t xml:space="preserve"> "О внесении изменений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30 марта 2022 г. </w:t>
      </w:r>
      <w:hyperlink r:id="rId52" w:tooltip="Постановление Комитета по ценам и тарифам Правительства Хабаровского края от 30.03.2022 N 10/1 &quot;О внесении изменений в постановление комитета по ценам и тарифам Правительства Хабаровского края от 29 декабря 2021 г. N 45/4 &quot;Об установлении размера единых станда">
        <w:r>
          <w:rPr>
            <w:color w:val="0000FF"/>
          </w:rPr>
          <w:t>N 10/1</w:t>
        </w:r>
      </w:hyperlink>
      <w:r>
        <w:t xml:space="preserve"> "О внесении изменений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27 апреля 2022 г. </w:t>
      </w:r>
      <w:hyperlink r:id="rId53" w:tooltip="Постановление Комитета по ценам и тарифам Правительства Хабаровского края от 27.04.2022 N 13/3 &quot;О внесении изменений в постановление комитета по ценам и тарифам Правительства Хабаровского края от 29 декабря 2021 г. N 45/4 &quot;Об установлении размера единых станда">
        <w:r>
          <w:rPr>
            <w:color w:val="0000FF"/>
          </w:rPr>
          <w:t>N 13/3</w:t>
        </w:r>
      </w:hyperlink>
      <w:r>
        <w:t xml:space="preserve"> "О внесении изменений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11 мая 2022 г. </w:t>
      </w:r>
      <w:hyperlink r:id="rId54" w:tooltip="Постановление Комитета по ценам и тарифам Правительства Хабаровского края от 11.05.2022 N 14/2 &quot;О внесении изменений в постановление комитета по ценам и тарифам Правительства Хабаровского края от 29 декабря 2021 г. N 45/4 &quot;Об установлении размера единых станда">
        <w:r>
          <w:rPr>
            <w:color w:val="0000FF"/>
          </w:rPr>
          <w:t>N 14/2</w:t>
        </w:r>
      </w:hyperlink>
      <w:r>
        <w:t xml:space="preserve"> "О внесении изменений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25 мая 2022 г. </w:t>
      </w:r>
      <w:hyperlink r:id="rId55" w:tooltip="Постановление Комитета по ценам и тарифам Правительства Хабаровского края от 25.05.2022 N 15/2 &quot;О внесении изменений в постановление комитета по ценам и тарифам Правительства Хабаровского края от 29 декабря 2021 г. N 45/4 &quot;Об установлении размера единых станда">
        <w:r>
          <w:rPr>
            <w:color w:val="0000FF"/>
          </w:rPr>
          <w:t>N 15/2</w:t>
        </w:r>
      </w:hyperlink>
      <w:r>
        <w:t xml:space="preserve"> "О внесении изменений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20 июня 2022 г. </w:t>
      </w:r>
      <w:hyperlink r:id="rId56" w:tooltip="Постановление Комитета по ценам и тарифам Правительства Хабаровского края от 20.06.2022 N 18/1 &quot;О внесении изменений в постановление комитета по ценам и тарифам Правительства Хабаровского края от 29 декабря 2021 г. N 45/4 &quot;Об установлении размера единых станда">
        <w:r>
          <w:rPr>
            <w:color w:val="0000FF"/>
          </w:rPr>
          <w:t>N 18/1</w:t>
        </w:r>
      </w:hyperlink>
      <w:r>
        <w:t xml:space="preserve"> "О внесении изменений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22 июня 2022 г. </w:t>
      </w:r>
      <w:hyperlink r:id="rId57" w:tooltip="Постановление Комитета по ценам и тарифам Правительства Хабаровского края от 22.06.2022 N 19/4 &quot;О внесении изменений в постановление комитета по ценам и тарифам Правительства Хабаровского края от 29 декабря 2021 г. N 45/4 &quot;Об установлении размера единых станда">
        <w:r>
          <w:rPr>
            <w:color w:val="0000FF"/>
          </w:rPr>
          <w:t>N 19/4</w:t>
        </w:r>
      </w:hyperlink>
      <w:r>
        <w:t xml:space="preserve"> "О внесении изменений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15 июля 2022 г. </w:t>
      </w:r>
      <w:hyperlink r:id="rId58" w:tooltip="Постановление Комитета по ценам и тарифам Правительства Хабаровского края от 15.07.2022 N 22/1 &quot;О внесении изменений в постановление комитета по ценам и тарифам Правительства Хабаровского края от 29 декабря 2021 г. N 45/4 &quot;Об установлении размера единых станда">
        <w:r>
          <w:rPr>
            <w:color w:val="0000FF"/>
          </w:rPr>
          <w:t>N 22/1</w:t>
        </w:r>
      </w:hyperlink>
      <w:r>
        <w:t xml:space="preserve"> "О внесении изменений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ставок, ставок за единицу максимальной мощности (руб./кВт)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10 августа 2022 г. </w:t>
      </w:r>
      <w:hyperlink r:id="rId59" w:tooltip="Постановление Комитета по ценам и тарифам Правительства Хабаровского края от 10.08.2022 N 26/2 &quot;О внесении изменения в постановление комитета по ценам и тарифам Правительства Хабаровского края от 29 декабря 2021 г. N 45/4 &quot;Об установлении размера единых станда">
        <w:r>
          <w:rPr>
            <w:color w:val="0000FF"/>
          </w:rPr>
          <w:t>N 26/2</w:t>
        </w:r>
      </w:hyperlink>
      <w:r>
        <w:t xml:space="preserve"> "О внесении изменения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Хабаровского края на 2022 год",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от 28 сентября 2022 г. </w:t>
      </w:r>
      <w:hyperlink r:id="rId60" w:tooltip="Постановление Комитета по ценам и тарифам Правительства Хабаровского края от 28.09.2022 N 32/7 &quot;О внесении изменения в постановление комитета по ценам и тарифам Правительства Хабаровского края от 29 декабря 2021 г. N 45/4 &quot;Об установлении размера единых станда">
        <w:r>
          <w:rPr>
            <w:color w:val="0000FF"/>
          </w:rPr>
          <w:t>N 32/7</w:t>
        </w:r>
      </w:hyperlink>
      <w:r>
        <w:t xml:space="preserve"> "О внесении изменения в постановление комитета по ценам и тарифам Правительства Хабаровского края от 29 декабря 2021 г. N 45/4 "Об установлении размера единых стандартизированных тарифных ставок и формул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к электрическим сетям для всех территориальных сетевых организаций на территории </w:t>
      </w:r>
      <w:r>
        <w:lastRenderedPageBreak/>
        <w:t>Хабаровского края на 2022 год".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9. Настоящее постановление вступает в силу с 1 декабря 2022 г.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jc w:val="right"/>
      </w:pPr>
      <w:r>
        <w:t>Председатель</w:t>
      </w:r>
    </w:p>
    <w:p w:rsidR="00A26C77" w:rsidRDefault="00C53F87">
      <w:pPr>
        <w:pStyle w:val="ConsPlusNormal0"/>
        <w:jc w:val="right"/>
      </w:pPr>
      <w:proofErr w:type="spellStart"/>
      <w:r>
        <w:t>А.В.Сидорова</w:t>
      </w:r>
      <w:proofErr w:type="spellEnd"/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jc w:val="right"/>
        <w:outlineLvl w:val="0"/>
      </w:pPr>
      <w:r>
        <w:t>Приложение 1</w:t>
      </w:r>
    </w:p>
    <w:p w:rsidR="00A26C77" w:rsidRDefault="00C53F87">
      <w:pPr>
        <w:pStyle w:val="ConsPlusNormal0"/>
        <w:jc w:val="right"/>
      </w:pPr>
      <w:r>
        <w:t>к постановлению</w:t>
      </w:r>
    </w:p>
    <w:p w:rsidR="00A26C77" w:rsidRDefault="00C53F87">
      <w:pPr>
        <w:pStyle w:val="ConsPlusNormal0"/>
        <w:jc w:val="right"/>
      </w:pPr>
      <w:r>
        <w:t>Комитета по ценам и тарифам</w:t>
      </w:r>
    </w:p>
    <w:p w:rsidR="00A26C77" w:rsidRDefault="00C53F87">
      <w:pPr>
        <w:pStyle w:val="ConsPlusNormal0"/>
        <w:jc w:val="right"/>
      </w:pPr>
      <w:r>
        <w:t>Правительства Хабаровского края</w:t>
      </w:r>
    </w:p>
    <w:p w:rsidR="00A26C77" w:rsidRDefault="00C53F87">
      <w:pPr>
        <w:pStyle w:val="ConsPlusNormal0"/>
        <w:jc w:val="right"/>
      </w:pPr>
      <w:r>
        <w:t>от 28 ноября 2022 г. N 48/1</w:t>
      </w:r>
    </w:p>
    <w:p w:rsidR="00A26C77" w:rsidRDefault="00A26C7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A26C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77" w:rsidRDefault="00A26C7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77" w:rsidRDefault="00A26C7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6C77" w:rsidRDefault="00C53F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6C77" w:rsidRDefault="00C53F87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Комитета по ценам и тарифам Правительства Хабаровского</w:t>
            </w:r>
          </w:p>
          <w:p w:rsidR="00A26C77" w:rsidRDefault="00C53F87">
            <w:pPr>
              <w:pStyle w:val="ConsPlusNormal0"/>
              <w:jc w:val="center"/>
            </w:pPr>
            <w:r>
              <w:rPr>
                <w:color w:val="392C69"/>
              </w:rPr>
              <w:t xml:space="preserve">края от 14.12.2022 </w:t>
            </w:r>
            <w:hyperlink r:id="rId61" w:tooltip="Постановление Комитета по ценам и тарифам Правительства Хабаровского края от 14.12.2022 N 51/9 &quot;О внесении изменения в постановление комитета по ценам и тарифам Правительства Хабаровского края от 28 ноября 2022 г. N 48/1 &quot;Об установлении размера единых стандар">
              <w:r>
                <w:rPr>
                  <w:color w:val="0000FF"/>
                </w:rPr>
                <w:t>N 51/9</w:t>
              </w:r>
            </w:hyperlink>
            <w:r>
              <w:rPr>
                <w:color w:val="392C69"/>
              </w:rPr>
              <w:t xml:space="preserve">, от 21.12.2022 </w:t>
            </w:r>
            <w:hyperlink r:id="rId62" w:tooltip="Постановление Комитета по ценам и тарифам Правительства Хабаровского края от 21.12.2022 N 52/1 &quot;О внесении изменения в постановление комитета по ценам и тарифам Правительства Хабаровского края от 28 ноября 2022 г. N 48/1 &quot;Об установлении размера единых стандар">
              <w:r>
                <w:rPr>
                  <w:color w:val="0000FF"/>
                </w:rPr>
                <w:t>N 52/1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C77" w:rsidRDefault="00A26C77">
            <w:pPr>
              <w:pStyle w:val="ConsPlusNormal0"/>
            </w:pPr>
          </w:p>
        </w:tc>
      </w:tr>
    </w:tbl>
    <w:p w:rsidR="00A26C77" w:rsidRDefault="00A26C77">
      <w:pPr>
        <w:pStyle w:val="ConsPlusNormal0"/>
        <w:jc w:val="both"/>
      </w:pPr>
    </w:p>
    <w:p w:rsidR="00A26C77" w:rsidRDefault="00C53F87">
      <w:pPr>
        <w:pStyle w:val="ConsPlusTitle0"/>
        <w:jc w:val="center"/>
        <w:outlineLvl w:val="1"/>
      </w:pPr>
      <w:bookmarkStart w:id="5" w:name="P80"/>
      <w:bookmarkEnd w:id="5"/>
      <w:r>
        <w:t>Стандартизированная тарифная ставка на покрытие расходов</w:t>
      </w:r>
    </w:p>
    <w:p w:rsidR="00A26C77" w:rsidRDefault="00C53F87">
      <w:pPr>
        <w:pStyle w:val="ConsPlusTitle0"/>
        <w:jc w:val="center"/>
      </w:pPr>
      <w:r>
        <w:t xml:space="preserve">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A26C77" w:rsidRDefault="00C53F87">
      <w:pPr>
        <w:pStyle w:val="ConsPlusTitle0"/>
        <w:jc w:val="center"/>
      </w:pPr>
      <w:r>
        <w:t>потребителей электрической энергии, объектов электросетевого</w:t>
      </w:r>
    </w:p>
    <w:p w:rsidR="00A26C77" w:rsidRDefault="00C53F87">
      <w:pPr>
        <w:pStyle w:val="ConsPlusTitle0"/>
        <w:jc w:val="center"/>
      </w:pPr>
      <w:r>
        <w:t>хозяйства, принадлежащих сетевым организациям и иным лицам,</w:t>
      </w:r>
    </w:p>
    <w:p w:rsidR="00A26C77" w:rsidRDefault="00C53F87">
      <w:pPr>
        <w:pStyle w:val="ConsPlusTitle0"/>
        <w:jc w:val="center"/>
      </w:pPr>
      <w:r>
        <w:t>по мероприятиям, указанным в пункте 16 Методических указаний</w:t>
      </w:r>
    </w:p>
    <w:p w:rsidR="00A26C77" w:rsidRDefault="00C53F87">
      <w:pPr>
        <w:pStyle w:val="ConsPlusTitle0"/>
        <w:jc w:val="center"/>
      </w:pPr>
      <w:r>
        <w:t>по определению размера платы за технологическое</w:t>
      </w:r>
    </w:p>
    <w:p w:rsidR="00A26C77" w:rsidRDefault="00C53F87">
      <w:pPr>
        <w:pStyle w:val="ConsPlusTitle0"/>
        <w:jc w:val="center"/>
      </w:pPr>
      <w:r>
        <w:t>присоединение к электрическим сетям, утвержденных Приказом</w:t>
      </w:r>
    </w:p>
    <w:p w:rsidR="00A26C77" w:rsidRDefault="00C53F87">
      <w:pPr>
        <w:pStyle w:val="ConsPlusTitle0"/>
        <w:jc w:val="center"/>
      </w:pPr>
      <w:r>
        <w:t>ФАС России от 30.06.2022 N 490/22 (кроме подпункта "б")</w:t>
      </w:r>
    </w:p>
    <w:p w:rsidR="00A26C77" w:rsidRDefault="00C53F87">
      <w:pPr>
        <w:pStyle w:val="ConsPlusTitle0"/>
        <w:jc w:val="center"/>
      </w:pPr>
      <w:r>
        <w:t>С</w:t>
      </w:r>
      <w:r>
        <w:rPr>
          <w:vertAlign w:val="subscript"/>
        </w:rPr>
        <w:t>1</w:t>
      </w:r>
      <w:r>
        <w:t xml:space="preserve"> - (руб. за одно присоединение) (без НДС)</w:t>
      </w:r>
    </w:p>
    <w:p w:rsidR="00A26C77" w:rsidRDefault="00A26C7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644"/>
        <w:gridCol w:w="3515"/>
        <w:gridCol w:w="2041"/>
        <w:gridCol w:w="1191"/>
      </w:tblGrid>
      <w:tr w:rsidR="00A26C77">
        <w:tc>
          <w:tcPr>
            <w:tcW w:w="680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64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Обозначение</w:t>
            </w:r>
          </w:p>
        </w:tc>
        <w:tc>
          <w:tcPr>
            <w:tcW w:w="3515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04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Значение</w:t>
            </w:r>
          </w:p>
        </w:tc>
      </w:tr>
      <w:tr w:rsidR="00A26C77">
        <w:tc>
          <w:tcPr>
            <w:tcW w:w="680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С</w:t>
            </w:r>
            <w:r>
              <w:rPr>
                <w:vertAlign w:val="subscript"/>
              </w:rPr>
              <w:t>1</w:t>
            </w:r>
          </w:p>
        </w:tc>
        <w:tc>
          <w:tcPr>
            <w:tcW w:w="3515" w:type="dxa"/>
          </w:tcPr>
          <w:p w:rsidR="00A26C77" w:rsidRDefault="00C53F87">
            <w:pPr>
              <w:pStyle w:val="ConsPlusNormal0"/>
              <w:jc w:val="both"/>
            </w:pPr>
            <w: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на подготовку и выдачу сетевой организацией технических условий заявителю и проверку сетевой организацией выполнения технических условий заявителем</w:t>
            </w:r>
          </w:p>
        </w:tc>
        <w:tc>
          <w:tcPr>
            <w:tcW w:w="204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 за одно присоединение</w:t>
            </w:r>
          </w:p>
        </w:tc>
        <w:tc>
          <w:tcPr>
            <w:tcW w:w="1191" w:type="dxa"/>
          </w:tcPr>
          <w:p w:rsidR="00A26C77" w:rsidRDefault="00A26C77">
            <w:pPr>
              <w:pStyle w:val="ConsPlusNormal0"/>
            </w:pPr>
          </w:p>
        </w:tc>
      </w:tr>
      <w:tr w:rsidR="00A26C77">
        <w:tc>
          <w:tcPr>
            <w:tcW w:w="680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1.1</w:t>
            </w:r>
          </w:p>
        </w:tc>
        <w:tc>
          <w:tcPr>
            <w:tcW w:w="164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С</w:t>
            </w:r>
            <w:r>
              <w:rPr>
                <w:vertAlign w:val="subscript"/>
              </w:rPr>
              <w:t>1.1</w:t>
            </w:r>
          </w:p>
        </w:tc>
        <w:tc>
          <w:tcPr>
            <w:tcW w:w="3515" w:type="dxa"/>
          </w:tcPr>
          <w:p w:rsidR="00A26C77" w:rsidRDefault="00C53F87">
            <w:pPr>
              <w:pStyle w:val="ConsPlusNormal0"/>
              <w:jc w:val="both"/>
            </w:pPr>
            <w:r>
              <w:t>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</w:t>
            </w:r>
          </w:p>
        </w:tc>
        <w:tc>
          <w:tcPr>
            <w:tcW w:w="204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 за одно присоединение</w:t>
            </w:r>
          </w:p>
        </w:tc>
        <w:tc>
          <w:tcPr>
            <w:tcW w:w="119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12 660</w:t>
            </w:r>
          </w:p>
        </w:tc>
      </w:tr>
      <w:tr w:rsidR="00A26C77">
        <w:tc>
          <w:tcPr>
            <w:tcW w:w="680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1.2.1</w:t>
            </w:r>
          </w:p>
        </w:tc>
        <w:tc>
          <w:tcPr>
            <w:tcW w:w="164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С</w:t>
            </w:r>
            <w:r>
              <w:rPr>
                <w:vertAlign w:val="subscript"/>
              </w:rPr>
              <w:t>1.2.1</w:t>
            </w:r>
          </w:p>
        </w:tc>
        <w:tc>
          <w:tcPr>
            <w:tcW w:w="3515" w:type="dxa"/>
          </w:tcPr>
          <w:p w:rsidR="00A26C77" w:rsidRDefault="00C53F87">
            <w:pPr>
              <w:pStyle w:val="ConsPlusNormal0"/>
              <w:jc w:val="both"/>
            </w:pPr>
            <w:r>
              <w:t xml:space="preserve">стандартизированная тарифная ставка на покрытие расходов на </w:t>
            </w:r>
            <w:r>
              <w:lastRenderedPageBreak/>
              <w:t xml:space="preserve">выдачу уведомления об обеспечении сетевой организацией возможности присоединения к электрическим сетям Заявителям, указанным в </w:t>
            </w:r>
            <w:hyperlink r:id="rId63" w:tooltip="Приказ ФАС России от 30.06.2022 N 490/22 &quot;Об утверждении Методических указаний по определению размера платы за технологическое присоединение к электрическим сетям&quot; (Зарегистрировано в Минюсте России 19.08.2022 N 69710) {КонсультантПлюс}">
              <w:r>
                <w:rPr>
                  <w:color w:val="0000FF"/>
                </w:rPr>
                <w:t>абзаце шестом пункта 24</w:t>
              </w:r>
            </w:hyperlink>
            <w:r>
              <w:t xml:space="preserve">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204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>рублей за одно присоединение</w:t>
            </w:r>
          </w:p>
        </w:tc>
        <w:tc>
          <w:tcPr>
            <w:tcW w:w="119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8 860</w:t>
            </w:r>
          </w:p>
        </w:tc>
      </w:tr>
      <w:tr w:rsidR="00A26C77">
        <w:tc>
          <w:tcPr>
            <w:tcW w:w="680" w:type="dxa"/>
            <w:vAlign w:val="center"/>
          </w:tcPr>
          <w:p w:rsidR="00A26C77" w:rsidRDefault="00C53F87">
            <w:pPr>
              <w:pStyle w:val="ConsPlusNormal0"/>
            </w:pPr>
            <w:r>
              <w:t>1.2.2</w:t>
            </w:r>
          </w:p>
        </w:tc>
        <w:tc>
          <w:tcPr>
            <w:tcW w:w="164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С</w:t>
            </w:r>
            <w:r>
              <w:rPr>
                <w:vertAlign w:val="subscript"/>
              </w:rPr>
              <w:t>1.2.2</w:t>
            </w:r>
          </w:p>
        </w:tc>
        <w:tc>
          <w:tcPr>
            <w:tcW w:w="3515" w:type="dxa"/>
          </w:tcPr>
          <w:p w:rsidR="00A26C77" w:rsidRDefault="00C53F87">
            <w:pPr>
              <w:pStyle w:val="ConsPlusNormal0"/>
              <w:jc w:val="both"/>
            </w:pPr>
            <w:r>
              <w:t xml:space="preserve">стандартизированная тарифная ставка на покрытие расходов на проверку выполнения технических условий Заявителями, указанными в </w:t>
            </w:r>
            <w:hyperlink r:id="rId64" w:tooltip="Приказ ФАС России от 30.06.2022 N 490/22 &quot;Об утверждении Методических указаний по определению размера платы за технологическое присоединение к электрическим сетям&quot; (Зарегистрировано в Минюсте России 19.08.2022 N 69710) {КонсультантПлюс}">
              <w:r>
                <w:rPr>
                  <w:color w:val="0000FF"/>
                </w:rPr>
                <w:t>абзаце седьмом пункта 24</w:t>
              </w:r>
            </w:hyperlink>
            <w:r>
              <w:t xml:space="preserve"> Методических указаний по определению размера платы за технологическое присоединение к электрическим сетям</w:t>
            </w:r>
          </w:p>
        </w:tc>
        <w:tc>
          <w:tcPr>
            <w:tcW w:w="204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 за одно присоединение</w:t>
            </w:r>
          </w:p>
        </w:tc>
        <w:tc>
          <w:tcPr>
            <w:tcW w:w="119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12 350</w:t>
            </w:r>
          </w:p>
        </w:tc>
      </w:tr>
    </w:tbl>
    <w:p w:rsidR="00A26C77" w:rsidRDefault="00A26C77">
      <w:pPr>
        <w:pStyle w:val="ConsPlusNormal0"/>
        <w:jc w:val="both"/>
      </w:pPr>
    </w:p>
    <w:p w:rsidR="00A26C77" w:rsidRDefault="00C53F87">
      <w:pPr>
        <w:pStyle w:val="ConsPlusTitle0"/>
        <w:jc w:val="center"/>
        <w:outlineLvl w:val="1"/>
      </w:pPr>
      <w:r>
        <w:t>Стандартизированные тарифные ставки за технологическое</w:t>
      </w:r>
    </w:p>
    <w:p w:rsidR="00A26C77" w:rsidRDefault="00C53F87">
      <w:pPr>
        <w:pStyle w:val="ConsPlusTitle0"/>
        <w:jc w:val="center"/>
      </w:pPr>
      <w:r>
        <w:t xml:space="preserve">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</w:t>
      </w:r>
    </w:p>
    <w:p w:rsidR="00A26C77" w:rsidRDefault="00C53F87">
      <w:pPr>
        <w:pStyle w:val="ConsPlusTitle0"/>
        <w:jc w:val="center"/>
      </w:pPr>
      <w:r>
        <w:t>к электрическим сетям территориальных сетевых организаций</w:t>
      </w:r>
    </w:p>
    <w:p w:rsidR="00A26C77" w:rsidRDefault="00C53F87">
      <w:pPr>
        <w:pStyle w:val="ConsPlusTitle0"/>
        <w:jc w:val="center"/>
      </w:pPr>
      <w:r>
        <w:t>на территории Хабаровского края на 2023 год (без НДС):</w:t>
      </w:r>
    </w:p>
    <w:p w:rsidR="00A26C77" w:rsidRDefault="00A26C7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701"/>
        <w:gridCol w:w="3005"/>
        <w:gridCol w:w="1417"/>
        <w:gridCol w:w="1587"/>
      </w:tblGrid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Обозначение</w:t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  <w:vAlign w:val="center"/>
          </w:tcPr>
          <w:p w:rsidR="00A26C77" w:rsidRDefault="00A26C77">
            <w:pPr>
              <w:pStyle w:val="ConsPlusNormal0"/>
            </w:pP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2.1.1.3.1.1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деревянных опорах 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до 50 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602 447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2.1.1.3.3.1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деревянных опорах 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100 до 200 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920 434,48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2.1.1.4.1.1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деревянных опорах изолированным алюминиевым проводом сечением до 50 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667 690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2.1.1.4.2.1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деревянных опорах изолированным алюминиевым проводом сечением от 50 до 100 </w:t>
            </w:r>
            <w:r>
              <w:lastRenderedPageBreak/>
              <w:t xml:space="preserve">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648 570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2.1.1.4.3.1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деревянных опорах изолированным алюминиевым проводом сечением от 100 до 200 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1 050 300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2.2.2.4.3.1.2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9532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многогранных металлических опорах неизолированным алюминиевым проводом сечением от 100 до 200 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13 312 540,41</w:t>
            </w:r>
          </w:p>
        </w:tc>
      </w:tr>
      <w:tr w:rsidR="00A26C77">
        <w:tc>
          <w:tcPr>
            <w:tcW w:w="1361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2.3.1.3.1.1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железобетонных опорах 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до 50 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1 296 290</w:t>
            </w:r>
          </w:p>
        </w:tc>
      </w:tr>
      <w:tr w:rsidR="00A26C77">
        <w:tc>
          <w:tcPr>
            <w:tcW w:w="1361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23875" cy="2381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417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1 887 500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2.3.1.3.2.1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238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железобетонных опорах 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50 до 100 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1 479 820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2.3.1.3.2.1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железобетонных опорах 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50 до 100 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1 531 950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2.3.1.3.3.1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железобетонных опорах 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100 до 200 квадратных мм включительно </w:t>
            </w:r>
            <w:proofErr w:type="spellStart"/>
            <w:r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1 695 010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2.3.2.3.2.1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71500" cy="2381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воздушные линии на железобетонных опорах неизолированным </w:t>
            </w:r>
            <w:proofErr w:type="spellStart"/>
            <w:r>
              <w:t>сталеалюминиевым</w:t>
            </w:r>
            <w:proofErr w:type="spellEnd"/>
            <w:r>
              <w:t xml:space="preserve"> проводом сечением от 50 до 100 квадратных мм включительно </w:t>
            </w:r>
            <w:proofErr w:type="spellStart"/>
            <w:r>
              <w:lastRenderedPageBreak/>
              <w:t>одноцепные</w:t>
            </w:r>
            <w:proofErr w:type="spellEnd"/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13 483 171,86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3.1.2.1.1.1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2 277 060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3.1.2.1.2.1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2 108 965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3.1.2.1.3.1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2 532 011,44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3.1.2.2.1.1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траншеях многожильные с бумажной изоляцией сечением провода до 50 квадратных мм включительно с одним кабелем в траншее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1 700 612,48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3.1.2.2.2.1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траншеях многожильные с бумажной изоляцией сечением провода от 50 до 100 квадратных мм включительно с одним кабелем в траншее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2 799 070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3.1.2.2.3.1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траншеях многожильные с бумажной изоляцией сечением провода от 100 до 200 квадратных мм включительно с одним кабелем в траншее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2 731 490,16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3.1.2.2.3.5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траншеях многожильные с бумажной изоляцией сечением провода от 100 до 200 квадратных мм включительно с количеством кабелей в траншее более четырех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10 601 706,83</w:t>
            </w:r>
          </w:p>
        </w:tc>
      </w:tr>
      <w:tr w:rsidR="00A26C77">
        <w:tc>
          <w:tcPr>
            <w:tcW w:w="1361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3.1.2.2.4.1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57225" cy="23812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vAlign w:val="center"/>
          </w:tcPr>
          <w:p w:rsidR="00A26C77" w:rsidRDefault="00C53F87">
            <w:pPr>
              <w:pStyle w:val="ConsPlusNormal0"/>
            </w:pPr>
            <w:r>
              <w:t xml:space="preserve">кабельные линии в траншеях </w:t>
            </w:r>
            <w:r>
              <w:lastRenderedPageBreak/>
              <w:t>многожильные с бумажной изоляцией сечением провода от 200 до 250 квадратных мм включительно с одним кабелем в траншее</w:t>
            </w:r>
          </w:p>
        </w:tc>
        <w:tc>
          <w:tcPr>
            <w:tcW w:w="1417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3 110 210,32</w:t>
            </w:r>
          </w:p>
        </w:tc>
      </w:tr>
      <w:tr w:rsidR="00A26C77">
        <w:tc>
          <w:tcPr>
            <w:tcW w:w="1361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417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3 377 923,36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3.1.2.2.4.2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23875" cy="23812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траншеях многожильные с бумажной изоляцией сечением провода от 200 до 250 квадратных мм включительно с двумя кабелями в траншее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5 717 265,48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3.1.2.2.4.5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76275" cy="23812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траншеях многожильные с бумажной изоляцией сечением провода от 200 до 250 квадратных мм включительно с количеством кабелей в траншее более четырех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12 948 326,24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3.2.1.1.5.1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блоках одножильные с резиновой или пластмассовой изоляцией сечением провода от 250 до 300 квадратных мм включительно с одним кабелем в блоке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17 825 525,03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3.2.2.2.1.1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блоках многожильные с бумажной изоляцией сечением провода до 50 квадратных мм включительно с одним кабелем в блоке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8 358 681,93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3.2.2.2.3.1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блоках многожильные с бумажной изоляцией сечением провода от 100 до 200 квадратных мм включительно с одним кабелем в блоке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4 280 872,06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3.2.2.2.3.1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76275" cy="23812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блоках многожильные с бумажной изоляцией сечением провода от 100 до 200 квадратных мм включительно с одним кабелем в блоке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16 399 985,28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3.2.2.2.3.2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23875" cy="23812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блоках многожильные с бумажной изоляцией сечением провода от 100 до 200 квадратных мм включительно с двумя кабелями в блоке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10 957 331,83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>3.2.2.2.4.1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блоках многожильные с бумажной изоляцией сечением провода от 200 до 250 квадратных мм включительно с одним кабелем в блоке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4 801 671,34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3.2.2.2.4.1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76275" cy="23812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 в блоках многожильные с бумажной изоляцией сечением провода от 200 до 250 квадратных мм включительно с одним кабелем в блоке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16 707 843,04</w:t>
            </w:r>
          </w:p>
        </w:tc>
      </w:tr>
      <w:tr w:rsidR="00A26C77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3.6.1.1.1.1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</w:pPr>
            <w:r>
              <w:t>кабельные линии, прокладываемые методом горизонтального наклонного бурения, одножильные с резиновой или пластмассовой изоляцией сечением провода до 50 квадратных мм включительно с одной трубой в скважине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18 687 341</w:t>
            </w:r>
          </w:p>
        </w:tc>
      </w:tr>
      <w:tr w:rsidR="00A26C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26C77" w:rsidRDefault="00C53F87">
            <w:pPr>
              <w:pStyle w:val="ConsPlusNormal0"/>
              <w:jc w:val="both"/>
            </w:pPr>
            <w:r>
              <w:t xml:space="preserve">(п. 3.6.1.1.1.1 введен </w:t>
            </w:r>
            <w:hyperlink r:id="rId96" w:tooltip="Постановление Комитета по ценам и тарифам Правительства Хабаровского края от 21.12.2022 N 52/1 &quot;О внесении изменения в постановление комитета по ценам и тарифам Правительства Хабаровского края от 28 ноября 2022 г. N 48/1 &quot;Об установлении размера единых станда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Комитета по ценам и тарифам Правительства Хабаровского края от 21.12.2022 N 52/1)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3.6.2.2.2.1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линии, прокладываемые методом горизонтального наклонного бурения, многожильные с бумажной изоляцией сечением провода от 50 до 100 квадратных мм включительно с одной трубой в скважине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19 659 123,68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3.6.2.2.3.1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линии, прокладываемые методом горизонтального наклонного бурения, многожильные с бумажной изоляцией сечением провода от 100 до 200 квадратных мм включительно с одной трубой в скважине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19 790 208,48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3.6.2.2.3.1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76275" cy="23812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линии, прокладываемые методом горизонтального наклонного бурения, многожильные с бумажной изоляцией сечением провода от 100 до 200 квадратных мм включительно с одной трубой в скважине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16 204 007,12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>3.6.2.2.4.1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504825" cy="23812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линии, прокладываемые методом горизонтального наклонного бурения, многожильные с бумажной изоляцией сечением провода от 200 до 250 квадратных мм включительно с одной трубой в скважине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16 508 953,78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3.6.2.2.4.1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76275" cy="23812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кабельные линии, прокладываемые методом горизонтального наклонного бурения, многожильные с бумажной изоляцией сечением провода от 200 до 250 квадратных мм включительно с одной трубой в скважине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рублей/км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16 742 061,28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47675" cy="23812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линейные разъединители номинальным током до 100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рублей/шт.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99 313,76</w:t>
            </w:r>
          </w:p>
        </w:tc>
      </w:tr>
      <w:tr w:rsidR="00A26C77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4.2.2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57200" cy="23812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</w:pPr>
            <w:r>
              <w:t xml:space="preserve">линейные разъединители номинальным током от 100 до 250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рублей/шт.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156 372,14</w:t>
            </w:r>
          </w:p>
        </w:tc>
      </w:tr>
      <w:tr w:rsidR="00A26C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26C77" w:rsidRDefault="00C53F87">
            <w:pPr>
              <w:pStyle w:val="ConsPlusNormal0"/>
              <w:jc w:val="both"/>
            </w:pPr>
            <w:r>
              <w:t xml:space="preserve">(п. 4.2.2 введен </w:t>
            </w:r>
            <w:hyperlink r:id="rId104" w:tooltip="Постановление Комитета по ценам и тарифам Правительства Хабаровского края от 21.12.2022 N 52/1 &quot;О внесении изменения в постановление комитета по ценам и тарифам Правительства Хабаровского края от 28 ноября 2022 г. N 48/1 &quot;Об установлении размера единых станда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Комитета по ценам и тарифам Правительства Хабаровского края от 21.12.2022 N 52/1)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4.2.4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714375" cy="23812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линейные разъединители номинальным током от 500 до 1000 </w:t>
            </w:r>
            <w:proofErr w:type="gramStart"/>
            <w:r>
              <w:t>А</w:t>
            </w:r>
            <w:proofErr w:type="gramEnd"/>
            <w:r>
              <w:t xml:space="preserve"> включительно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рублей/шт.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83 335,67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4.4.3.3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47675" cy="23812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распределительные пункты (РП), за исключением комплектных распределительных устройств наружной установки (КРН, КРУН), номинальным током от 250 до 500 </w:t>
            </w:r>
            <w:proofErr w:type="gramStart"/>
            <w:r>
              <w:t>А</w:t>
            </w:r>
            <w:proofErr w:type="gramEnd"/>
            <w:r>
              <w:t xml:space="preserve"> включительно с количеством ячеек от 10 до 15 включительно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рублей/шт.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9 291 164</w:t>
            </w:r>
          </w:p>
        </w:tc>
      </w:tr>
      <w:tr w:rsidR="00A26C77">
        <w:tc>
          <w:tcPr>
            <w:tcW w:w="1361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5.1.1.1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66725" cy="23812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vAlign w:val="center"/>
          </w:tcPr>
          <w:p w:rsidR="00A26C77" w:rsidRDefault="00C53F87">
            <w:pPr>
              <w:pStyle w:val="ConsPlusNormal0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 (за исключением РТП) мощностью до 25 </w:t>
            </w:r>
            <w:proofErr w:type="spellStart"/>
            <w:r>
              <w:t>кВА</w:t>
            </w:r>
            <w:proofErr w:type="spellEnd"/>
            <w:r>
              <w:t xml:space="preserve"> включительно столбового/мачтового типа</w:t>
            </w:r>
          </w:p>
        </w:tc>
        <w:tc>
          <w:tcPr>
            <w:tcW w:w="1417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рублей/кВт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17 730</w:t>
            </w:r>
          </w:p>
        </w:tc>
      </w:tr>
      <w:tr w:rsidR="00A26C77">
        <w:tc>
          <w:tcPr>
            <w:tcW w:w="1361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95300" cy="23812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417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25 850</w:t>
            </w:r>
          </w:p>
        </w:tc>
      </w:tr>
      <w:tr w:rsidR="00A26C77">
        <w:tc>
          <w:tcPr>
            <w:tcW w:w="1361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5.1.2.1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66725" cy="23812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vAlign w:val="center"/>
          </w:tcPr>
          <w:p w:rsidR="00A26C77" w:rsidRDefault="00C53F87">
            <w:pPr>
              <w:pStyle w:val="ConsPlusNormal0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 (за исключением РТП) мощностью от 25 до 100 </w:t>
            </w:r>
            <w:proofErr w:type="spellStart"/>
            <w:r>
              <w:t>кВА</w:t>
            </w:r>
            <w:proofErr w:type="spellEnd"/>
            <w:r>
              <w:t xml:space="preserve"> включительно столбового/мачтового типа</w:t>
            </w:r>
          </w:p>
        </w:tc>
        <w:tc>
          <w:tcPr>
            <w:tcW w:w="1417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рублей/кВт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10 430</w:t>
            </w:r>
          </w:p>
        </w:tc>
      </w:tr>
      <w:tr w:rsidR="00A26C77">
        <w:tc>
          <w:tcPr>
            <w:tcW w:w="1361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95300" cy="23812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417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13 400</w:t>
            </w:r>
          </w:p>
        </w:tc>
      </w:tr>
      <w:tr w:rsidR="00A26C77">
        <w:tc>
          <w:tcPr>
            <w:tcW w:w="1361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>5.1.3.1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66725" cy="23812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vAlign w:val="center"/>
          </w:tcPr>
          <w:p w:rsidR="00A26C77" w:rsidRDefault="00C53F87">
            <w:pPr>
              <w:pStyle w:val="ConsPlusNormal0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 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 столбового/мачтового типа</w:t>
            </w:r>
          </w:p>
        </w:tc>
        <w:tc>
          <w:tcPr>
            <w:tcW w:w="1417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рублей/кВт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4 340</w:t>
            </w:r>
          </w:p>
        </w:tc>
      </w:tr>
      <w:tr w:rsidR="00A26C77">
        <w:tc>
          <w:tcPr>
            <w:tcW w:w="1361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95300" cy="238125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417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4 760</w:t>
            </w:r>
          </w:p>
        </w:tc>
      </w:tr>
      <w:tr w:rsidR="00A26C77">
        <w:tc>
          <w:tcPr>
            <w:tcW w:w="1361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5.1.3.2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66725" cy="23812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vAlign w:val="center"/>
          </w:tcPr>
          <w:p w:rsidR="00A26C77" w:rsidRDefault="00C53F87">
            <w:pPr>
              <w:pStyle w:val="ConsPlusNormal0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 (за исключением РТП) мощностью от 100 до 250 </w:t>
            </w:r>
            <w:proofErr w:type="spellStart"/>
            <w:r>
              <w:t>кВА</w:t>
            </w:r>
            <w:proofErr w:type="spellEnd"/>
            <w:r>
              <w:t xml:space="preserve"> включительно шкафного или </w:t>
            </w:r>
            <w:proofErr w:type="spellStart"/>
            <w:r>
              <w:t>киоскового</w:t>
            </w:r>
            <w:proofErr w:type="spellEnd"/>
            <w:r>
              <w:t xml:space="preserve"> типа</w:t>
            </w:r>
          </w:p>
        </w:tc>
        <w:tc>
          <w:tcPr>
            <w:tcW w:w="1417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рублей/кВт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4 450</w:t>
            </w:r>
          </w:p>
        </w:tc>
      </w:tr>
      <w:tr w:rsidR="00A26C77">
        <w:tc>
          <w:tcPr>
            <w:tcW w:w="1361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95300" cy="23812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417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6 620</w:t>
            </w:r>
          </w:p>
        </w:tc>
      </w:tr>
      <w:tr w:rsidR="00A26C77">
        <w:tc>
          <w:tcPr>
            <w:tcW w:w="1361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5.1.4.2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66725" cy="23812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vAlign w:val="center"/>
          </w:tcPr>
          <w:p w:rsidR="00A26C77" w:rsidRDefault="00C53F87">
            <w:pPr>
              <w:pStyle w:val="ConsPlusNormal0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 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 шкафного или </w:t>
            </w:r>
            <w:proofErr w:type="spellStart"/>
            <w:r>
              <w:t>киоскового</w:t>
            </w:r>
            <w:proofErr w:type="spellEnd"/>
            <w:r>
              <w:t xml:space="preserve"> типа</w:t>
            </w:r>
          </w:p>
        </w:tc>
        <w:tc>
          <w:tcPr>
            <w:tcW w:w="1417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рублей/кВт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2 430</w:t>
            </w:r>
          </w:p>
        </w:tc>
      </w:tr>
      <w:tr w:rsidR="00A26C77">
        <w:tc>
          <w:tcPr>
            <w:tcW w:w="1361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95300" cy="23812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417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2 770</w:t>
            </w:r>
          </w:p>
        </w:tc>
      </w:tr>
      <w:tr w:rsidR="00A26C77">
        <w:tc>
          <w:tcPr>
            <w:tcW w:w="1361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5.1.5.2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66725" cy="238125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vAlign w:val="center"/>
          </w:tcPr>
          <w:p w:rsidR="00A26C77" w:rsidRDefault="00C53F87">
            <w:pPr>
              <w:pStyle w:val="ConsPlusNormal0"/>
            </w:pPr>
            <w:proofErr w:type="spellStart"/>
            <w:r>
              <w:t>однотрансформаторные</w:t>
            </w:r>
            <w:proofErr w:type="spellEnd"/>
            <w:r>
              <w:t xml:space="preserve"> подстанции (за исключением РТП) мощностью от 400 до 630 </w:t>
            </w:r>
            <w:proofErr w:type="spellStart"/>
            <w:r>
              <w:t>кВА</w:t>
            </w:r>
            <w:proofErr w:type="spellEnd"/>
            <w:r>
              <w:t xml:space="preserve"> включительно шкафного или </w:t>
            </w:r>
            <w:proofErr w:type="spellStart"/>
            <w:r>
              <w:t>киоскового</w:t>
            </w:r>
            <w:proofErr w:type="spellEnd"/>
            <w:r>
              <w:t xml:space="preserve"> типа</w:t>
            </w:r>
          </w:p>
        </w:tc>
        <w:tc>
          <w:tcPr>
            <w:tcW w:w="1417" w:type="dxa"/>
            <w:vMerge w:val="restart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рублей/кВт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4 090</w:t>
            </w:r>
          </w:p>
        </w:tc>
      </w:tr>
      <w:tr w:rsidR="00A26C77">
        <w:tc>
          <w:tcPr>
            <w:tcW w:w="1361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95300" cy="23812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417" w:type="dxa"/>
            <w:vMerge/>
          </w:tcPr>
          <w:p w:rsidR="00A26C77" w:rsidRDefault="00A26C77">
            <w:pPr>
              <w:pStyle w:val="ConsPlusNormal0"/>
            </w:pP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4 830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5.2.4.2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66725" cy="23812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 шкафного или </w:t>
            </w:r>
            <w:proofErr w:type="spellStart"/>
            <w:r>
              <w:t>киоскового</w:t>
            </w:r>
            <w:proofErr w:type="spellEnd"/>
            <w:r>
              <w:t xml:space="preserve"> типа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рублей/кВт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2 267,55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5.2.4.3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66725" cy="23812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250 до 400 </w:t>
            </w:r>
            <w:proofErr w:type="spellStart"/>
            <w:r>
              <w:t>кВА</w:t>
            </w:r>
            <w:proofErr w:type="spellEnd"/>
            <w:r>
              <w:t xml:space="preserve"> включительно блочного типа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рублей/кВт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8 601,78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5.2.5.3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66725" cy="238125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proofErr w:type="spellStart"/>
            <w:r>
              <w:t>Двухтрансформаторные</w:t>
            </w:r>
            <w:proofErr w:type="spellEnd"/>
            <w:r>
              <w:t xml:space="preserve"> и более подстанции (за исключением РТП) мощностью от 400 до 1000 </w:t>
            </w:r>
            <w:proofErr w:type="spellStart"/>
            <w:r>
              <w:t>кВА</w:t>
            </w:r>
            <w:proofErr w:type="spellEnd"/>
            <w:r>
              <w:t xml:space="preserve"> включительно блочного типа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рублей/кВт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6 791,83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8.1.1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76275" cy="23812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средства коммерческого учета электрической энергии (мощности) однофазные прямого включения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 за точку учета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15 300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8.2.1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76275" cy="238125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средства коммерческого учета электрической энергии (мощности) трехфазные прямого включения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 за точку учета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33 110</w:t>
            </w:r>
          </w:p>
        </w:tc>
      </w:tr>
      <w:tr w:rsidR="00A26C77">
        <w:tc>
          <w:tcPr>
            <w:tcW w:w="1361" w:type="dxa"/>
            <w:vMerge w:val="restart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8.2.2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76275" cy="238125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</w:pPr>
            <w:r>
              <w:t xml:space="preserve">средства коммерческого учета </w:t>
            </w:r>
            <w:r>
              <w:lastRenderedPageBreak/>
              <w:t xml:space="preserve">электрической энергии (мощности) трехфазные </w:t>
            </w:r>
            <w:proofErr w:type="spellStart"/>
            <w:r>
              <w:t>полукосвенного</w:t>
            </w:r>
            <w:proofErr w:type="spellEnd"/>
            <w:r>
              <w:t xml:space="preserve"> включения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 xml:space="preserve">рублей за </w:t>
            </w:r>
            <w:r>
              <w:lastRenderedPageBreak/>
              <w:t>точку учета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>52 630</w:t>
            </w:r>
          </w:p>
        </w:tc>
      </w:tr>
      <w:tr w:rsidR="00A26C77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A26C77" w:rsidRDefault="00A26C77">
            <w:pPr>
              <w:pStyle w:val="ConsPlusNormal0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19100" cy="238125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  <w:tcBorders>
              <w:bottom w:val="nil"/>
            </w:tcBorders>
          </w:tcPr>
          <w:p w:rsidR="00A26C77" w:rsidRDefault="00A26C77">
            <w:pPr>
              <w:pStyle w:val="ConsPlusNormal0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26C77" w:rsidRDefault="00A26C77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302 730</w:t>
            </w:r>
          </w:p>
        </w:tc>
      </w:tr>
      <w:tr w:rsidR="00A26C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26C77" w:rsidRDefault="00C53F87">
            <w:pPr>
              <w:pStyle w:val="ConsPlusNormal0"/>
              <w:jc w:val="both"/>
            </w:pPr>
            <w:r>
              <w:t xml:space="preserve">(в ред. </w:t>
            </w:r>
            <w:hyperlink r:id="rId126" w:tooltip="Постановление Комитета по ценам и тарифам Правительства Хабаровского края от 14.12.2022 N 51/9 &quot;О внесении изменения в постановление комитета по ценам и тарифам Правительства Хабаровского края от 28 ноября 2022 г. N 48/1 &quot;Об установлении размера единых стандар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Комитета по ценам и тарифам Правительства Хабаровского края от 14.12.2022 N 51/9)</w:t>
            </w:r>
          </w:p>
        </w:tc>
      </w:tr>
      <w:tr w:rsidR="00A26C77">
        <w:tc>
          <w:tcPr>
            <w:tcW w:w="136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8.2.3</w:t>
            </w:r>
          </w:p>
        </w:tc>
        <w:tc>
          <w:tcPr>
            <w:tcW w:w="1701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695325" cy="23812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A26C77" w:rsidRDefault="00C53F87">
            <w:pPr>
              <w:pStyle w:val="ConsPlusNormal0"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41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 за точку учета</w:t>
            </w:r>
          </w:p>
        </w:tc>
        <w:tc>
          <w:tcPr>
            <w:tcW w:w="1587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29 910,10</w:t>
            </w:r>
          </w:p>
        </w:tc>
      </w:tr>
      <w:tr w:rsidR="00A26C77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8.2.3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rPr>
                <w:noProof/>
                <w:position w:val="-8"/>
                <w:lang w:eastAsia="ja-JP"/>
              </w:rPr>
              <w:drawing>
                <wp:inline distT="0" distB="0" distL="0" distR="0">
                  <wp:extent cx="447675" cy="23812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</w:pPr>
            <w:r>
              <w:t>средства коммерческого учета электрической энергии (мощности) трехфазные косвенного включения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рублей за точку учета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717 927</w:t>
            </w:r>
          </w:p>
        </w:tc>
      </w:tr>
      <w:tr w:rsidR="00A26C77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A26C77" w:rsidRDefault="00C53F87">
            <w:pPr>
              <w:pStyle w:val="ConsPlusNormal0"/>
              <w:jc w:val="both"/>
            </w:pPr>
            <w:r>
              <w:t xml:space="preserve">(п. 8.2.3 введен </w:t>
            </w:r>
            <w:hyperlink r:id="rId129" w:tooltip="Постановление Комитета по ценам и тарифам Правительства Хабаровского края от 21.12.2022 N 52/1 &quot;О внесении изменения в постановление комитета по ценам и тарифам Правительства Хабаровского края от 28 ноября 2022 г. N 48/1 &quot;Об установлении размера единых стандар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Комитета по ценам и тарифам Правительства Хабаровского края от 21.12.2022 N 52/1)</w:t>
            </w:r>
          </w:p>
        </w:tc>
      </w:tr>
    </w:tbl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jc w:val="right"/>
        <w:outlineLvl w:val="0"/>
      </w:pPr>
      <w:r>
        <w:t>Приложение 2</w:t>
      </w:r>
    </w:p>
    <w:p w:rsidR="00A26C77" w:rsidRDefault="00C53F87">
      <w:pPr>
        <w:pStyle w:val="ConsPlusNormal0"/>
        <w:jc w:val="right"/>
      </w:pPr>
      <w:r>
        <w:t>к постановлению</w:t>
      </w:r>
    </w:p>
    <w:p w:rsidR="00A26C77" w:rsidRDefault="00C53F87">
      <w:pPr>
        <w:pStyle w:val="ConsPlusNormal0"/>
        <w:jc w:val="right"/>
      </w:pPr>
      <w:r>
        <w:t>Комитета по ценам и тарифам</w:t>
      </w:r>
    </w:p>
    <w:p w:rsidR="00A26C77" w:rsidRDefault="00C53F87">
      <w:pPr>
        <w:pStyle w:val="ConsPlusNormal0"/>
        <w:jc w:val="right"/>
      </w:pPr>
      <w:r>
        <w:t>Правительства Хабаровского края</w:t>
      </w:r>
    </w:p>
    <w:p w:rsidR="00A26C77" w:rsidRDefault="00C53F87">
      <w:pPr>
        <w:pStyle w:val="ConsPlusNormal0"/>
        <w:jc w:val="right"/>
      </w:pPr>
      <w:r>
        <w:t>от 28 ноября 2022 г. N 48/1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Title0"/>
        <w:jc w:val="center"/>
      </w:pPr>
      <w:bookmarkStart w:id="6" w:name="P419"/>
      <w:bookmarkEnd w:id="6"/>
      <w:r>
        <w:t>ФОРМУЛЫ ПЛАТЫ ЗА ТЕХНОЛОГИЧЕСКОЕ ПРИСОЕДИНЕНИЕ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ind w:firstLine="540"/>
        <w:jc w:val="both"/>
      </w:pPr>
      <w:r>
        <w:t xml:space="preserve">Размер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определяется с учетом запрашиваемой Заявителем категории надежности электроснабжения, исходя из стандартизированных тарифных ставок и способа технологического присоединения к электрическим сетям сетевой организации, согласно выданным техническим условиям: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а) если отсутствует необходимость реализации мероприятий "последней мили":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ind w:firstLine="540"/>
        <w:jc w:val="both"/>
      </w:pPr>
      <w:r>
        <w:t>Т = С</w:t>
      </w:r>
      <w:r>
        <w:rPr>
          <w:vertAlign w:val="subscript"/>
        </w:rPr>
        <w:t>1</w:t>
      </w:r>
      <w:r>
        <w:t xml:space="preserve"> + С</w:t>
      </w:r>
      <w:r>
        <w:rPr>
          <w:vertAlign w:val="subscript"/>
        </w:rPr>
        <w:t>8</w:t>
      </w:r>
      <w:r>
        <w:t xml:space="preserve"> x Q (руб.),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ind w:firstLine="540"/>
        <w:jc w:val="both"/>
      </w:pPr>
      <w:r>
        <w:t>где: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1</w:t>
      </w:r>
      <w:r>
        <w:t xml:space="preserve"> - стандартизированная тарифная ставка на покрытие расходов на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</w:t>
      </w:r>
      <w:hyperlink r:id="rId130" w:tooltip="Приказ ФАС России от 30.06.2022 N 490/22 &quot;Об утверждении Методических указаний по определению размера платы за технологическое присоединение к электрическим сетям&quot; (Зарегистрировано в Минюсте России 19.08.2022 N 69710) {КонсультантПлюс}">
        <w:r>
          <w:rPr>
            <w:color w:val="0000FF"/>
          </w:rPr>
          <w:t>пункте 16</w:t>
        </w:r>
      </w:hyperlink>
      <w:r>
        <w:t xml:space="preserve"> Методических указаний по определению размера платы за технологическое присоединение к электрическим сетям, утвержденных приказом ФАС России от 30.06.2022 N 490/22 (кроме </w:t>
      </w:r>
      <w:hyperlink r:id="rId131" w:tooltip="Приказ ФАС России от 30.06.2022 N 490/22 &quot;Об утверждении Методических указаний по определению размера платы за технологическое присоединение к электрическим сетям&quot; (Зарегистрировано в Минюсте России 19.08.2022 N 69710) {КонсультантПлюс}">
        <w:r>
          <w:rPr>
            <w:color w:val="0000FF"/>
          </w:rPr>
          <w:t>подпункта "б"</w:t>
        </w:r>
      </w:hyperlink>
      <w:r>
        <w:t>) (руб. за одно присоединение);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8</w:t>
      </w:r>
      <w:r>
        <w:t xml:space="preserve"> - стандартизированной тарифной ставки на покрытие расходов сетевой организации на обеспечение средствами коммерческого учета электрической энергии (мощности) и количества точек учета (руб./за точку учета);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Q - Количество точек учета;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б) если при технологическом присоединении заявителя согласно техническим условиям предусматривается мероприятие "последней мили" по прокладке воздушных и (или) кабельных линий: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ind w:firstLine="540"/>
        <w:jc w:val="both"/>
      </w:pPr>
      <w:r>
        <w:t>Т = С</w:t>
      </w:r>
      <w:r>
        <w:rPr>
          <w:vertAlign w:val="subscript"/>
        </w:rPr>
        <w:t>1</w:t>
      </w:r>
      <w:r>
        <w:t xml:space="preserve"> + С</w:t>
      </w:r>
      <w:r>
        <w:rPr>
          <w:vertAlign w:val="subscript"/>
        </w:rPr>
        <w:t>2</w:t>
      </w:r>
      <w:r>
        <w:t xml:space="preserve"> x L + С</w:t>
      </w:r>
      <w:r>
        <w:rPr>
          <w:vertAlign w:val="subscript"/>
        </w:rPr>
        <w:t>3</w:t>
      </w:r>
      <w:r>
        <w:t xml:space="preserve"> x L + С</w:t>
      </w:r>
      <w:r>
        <w:rPr>
          <w:vertAlign w:val="subscript"/>
        </w:rPr>
        <w:t>8</w:t>
      </w:r>
      <w:r>
        <w:t xml:space="preserve"> x Q (руб.),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ind w:firstLine="540"/>
        <w:jc w:val="both"/>
      </w:pPr>
      <w:r>
        <w:t>где: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С2 - стандартизированная тарифная ставка на покрытие расходов сетевой организации на строительство воздушных линий электропередачи на i-том уровне напряжения (руб./км);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С3 - стандартизированная тарифная ставка на покрытие расходов сетевой организации на строительство кабельных линий электропередачи на i-том уровне напряжения (руб./км);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L - суммарная протяженность воздушных и (или) кабельных линий на i-том уровне напряжения, строительство которых предусмотрено согласно выданным техническим условиям для технологического присоединения Заявителя (км).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Стандартизированные тарифные ставки С</w:t>
      </w:r>
      <w:r>
        <w:rPr>
          <w:vertAlign w:val="subscript"/>
        </w:rPr>
        <w:t>2</w:t>
      </w:r>
      <w:r>
        <w:t xml:space="preserve"> и С</w:t>
      </w:r>
      <w:r>
        <w:rPr>
          <w:vertAlign w:val="subscript"/>
        </w:rPr>
        <w:t>3</w:t>
      </w:r>
      <w:r>
        <w:t xml:space="preserve"> применяются к протяженности линий электропередачи по трассе.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в) если при технологическом присоединении заявителя согласно техническим условиям предусматриваются мероприятия "последней мили" по строительству пунктов секционирования (</w:t>
      </w:r>
      <w:proofErr w:type="spellStart"/>
      <w:r>
        <w:t>реклоузеров</w:t>
      </w:r>
      <w:proofErr w:type="spellEnd"/>
      <w:r>
        <w:t>, распределительных пунктов, переключательных пунктов), трансформаторных подстанций (ТП), за исключением распределительных трансформаторных подстанций (РТП) с уровнем напряжения до 35 кВ и на строительство центров питания, подстанций уровнем напряжения 35 кВ и выше (ПС):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ind w:firstLine="540"/>
        <w:jc w:val="both"/>
      </w:pPr>
      <w:r>
        <w:t>Т = С</w:t>
      </w:r>
      <w:r>
        <w:rPr>
          <w:vertAlign w:val="subscript"/>
        </w:rPr>
        <w:t>1</w:t>
      </w:r>
      <w:r>
        <w:t xml:space="preserve"> + С</w:t>
      </w:r>
      <w:r>
        <w:rPr>
          <w:vertAlign w:val="subscript"/>
        </w:rPr>
        <w:t>2</w:t>
      </w:r>
      <w:r>
        <w:t xml:space="preserve"> x L + С</w:t>
      </w:r>
      <w:r>
        <w:rPr>
          <w:vertAlign w:val="subscript"/>
        </w:rPr>
        <w:t>3</w:t>
      </w:r>
      <w:r>
        <w:t xml:space="preserve"> x L + С</w:t>
      </w:r>
      <w:r>
        <w:rPr>
          <w:vertAlign w:val="subscript"/>
        </w:rPr>
        <w:t>4</w:t>
      </w:r>
      <w:r>
        <w:t xml:space="preserve"> x R + С</w:t>
      </w:r>
      <w:r>
        <w:rPr>
          <w:vertAlign w:val="subscript"/>
        </w:rPr>
        <w:t>5</w:t>
      </w:r>
      <w:r>
        <w:t xml:space="preserve"> x N + С</w:t>
      </w:r>
      <w:r>
        <w:rPr>
          <w:vertAlign w:val="subscript"/>
        </w:rPr>
        <w:t>6</w:t>
      </w:r>
      <w:r>
        <w:t xml:space="preserve"> x N + С</w:t>
      </w:r>
      <w:r>
        <w:rPr>
          <w:vertAlign w:val="subscript"/>
        </w:rPr>
        <w:t>7</w:t>
      </w:r>
      <w:r>
        <w:t xml:space="preserve"> x N + С</w:t>
      </w:r>
      <w:r>
        <w:rPr>
          <w:vertAlign w:val="subscript"/>
        </w:rPr>
        <w:t>8</w:t>
      </w:r>
      <w:r>
        <w:t xml:space="preserve"> x Q (руб.),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ind w:firstLine="540"/>
        <w:jc w:val="both"/>
      </w:pPr>
      <w:r>
        <w:t>где: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4</w:t>
      </w:r>
      <w:r>
        <w:t xml:space="preserve"> - стандартизированная тарифная ставка на покрытие расходов сетевой организации на строительство пунктов секционирования (</w:t>
      </w:r>
      <w:proofErr w:type="spellStart"/>
      <w:r>
        <w:t>реклоузеров</w:t>
      </w:r>
      <w:proofErr w:type="spellEnd"/>
      <w:r>
        <w:t>, распределительных пунктов, переключательных пунктов) на i-м уровне напряжения (руб./шт.);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5</w:t>
      </w:r>
      <w:r>
        <w:t xml:space="preserve"> - стандартизированная тарифная ставка на покрытие расходов сетевой организации на строительство комплектных трансформаторных подстанций (КТП) с уровнем напряжения до 35 кВ (руб./кВт).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6</w:t>
      </w:r>
      <w:r>
        <w:t xml:space="preserve"> - стандартизированная тарифная ставка на покрытие расходов сетевой организации на строительство распределительных трансформаторных подстанций (РТП) с уровнем напряжения до 35 кВ (руб./кВт);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7</w:t>
      </w:r>
      <w:r>
        <w:t xml:space="preserve"> - стандартизированная тарифная ставка на покрытие расходов сетевой организации на строительство центров питания, подстанций уровнем напряжения 35 кВ и выше (ПС) (руб./кВт);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R - количество пунктов секционирования (</w:t>
      </w:r>
      <w:proofErr w:type="spellStart"/>
      <w:r>
        <w:t>реклоузеров</w:t>
      </w:r>
      <w:proofErr w:type="spellEnd"/>
      <w:r>
        <w:t>, распределительных пунктов, переключательных пунктов) (шт.);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N - объем максимальной мощности на i-том уровне напряжения, указанный Заявителем в заявке на технологическое присоединение (кВт).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Стандартизированные тарифные ставки С</w:t>
      </w:r>
      <w:r>
        <w:rPr>
          <w:vertAlign w:val="subscript"/>
        </w:rPr>
        <w:t>2</w:t>
      </w:r>
      <w:r>
        <w:t xml:space="preserve"> и С</w:t>
      </w:r>
      <w:r>
        <w:rPr>
          <w:vertAlign w:val="subscript"/>
        </w:rPr>
        <w:t>3</w:t>
      </w:r>
      <w:r>
        <w:t xml:space="preserve"> применяются к протяженности линий электропередач по трассе.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г)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года, то стоимость мероприятий, учитываемых в плате, рассчитанной в год подачи заявки, индексируется следующим образом: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- 50% стоимости мероприятий, предусмотренных техническими условиями, определяется в ценах года, соответствующего году утверждения платы;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- 50% стоимости мероприятий, предусмотренных техническими условиями, умножается на прогнозный индекс цен производителей по подразделу "Строительство" раздела "Капитальные вложения (инвестиции)" на </w:t>
      </w:r>
      <w:r>
        <w:lastRenderedPageBreak/>
        <w:t xml:space="preserve">год, следующий за годом утверждения платы, публикуемый в соответствии со вторым предложением </w:t>
      </w:r>
      <w:hyperlink r:id="rId132" w:tooltip="Постановление Правительства РФ от 29.12.2011 N 1178 (ред. от 09.12.2022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">
        <w:r>
          <w:rPr>
            <w:color w:val="0000FF"/>
          </w:rPr>
          <w:t>абзаца восьмого пункта 87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 (при отсутствии данного индекса используется индекс потребительских цен) (далее - Основы ценообразования N 1178);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д) если при технологическом присоединении по инициативе (обращению) Заявителя,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составляет не менее 670 кВт, установлены сроки выполнения мероприятий по технологическому присоединению более двух лет (но не более четырех лет), то стоимость мероприятий, учитываемых в плате, рассчитанной в год подачи заявки, индексируется следующим образом: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- 50% стоимости мероприятий, предусмотренных техническими условиями, умножается на произведение прогнозных индексов цен производителей по подразделу "Строительство" раздела "Капитальные вложения (инвестиции)", публикуемых в соответствии со вторым предложением </w:t>
      </w:r>
      <w:hyperlink r:id="rId133" w:tooltip="Постановление Правительства РФ от 29.12.2011 N 1178 (ред. от 09.12.2022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">
        <w:r>
          <w:rPr>
            <w:color w:val="0000FF"/>
          </w:rPr>
          <w:t>абзаца восьмого пункта 87</w:t>
        </w:r>
      </w:hyperlink>
      <w:r>
        <w:t xml:space="preserve"> Основ ценообразования N 1178 на соответствующий год (при отсутствии данного индекса используется индекс потребительских цен на соответствующий год) за половину периода, указанного в технических условиях, начиная с года, следующего за годом утверждения платы;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 xml:space="preserve">- 50% стоимости мероприятий, предусмотренных техническими условиями, умножается на произведение прогнозных индексов цен производителей по подразделу "Строительство" раздела "Капитальные вложения (инвестиции)", публикуемых в соответствии со вторым предложением </w:t>
      </w:r>
      <w:hyperlink r:id="rId134" w:tooltip="Постановление Правительства РФ от 29.12.2011 N 1178 (ред. от 09.12.2022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">
        <w:r>
          <w:rPr>
            <w:color w:val="0000FF"/>
          </w:rPr>
          <w:t>абзаца восьмого пункта 87</w:t>
        </w:r>
      </w:hyperlink>
      <w:r>
        <w:t xml:space="preserve"> Основ ценообразования N 1178 на соответствующий год (при отсутствии данного индекса используется индекс потребительских цен на соответствующий год) за период, указанный в технических условиях, начиная с года, следующего за годом утверждения платы.</w:t>
      </w:r>
    </w:p>
    <w:p w:rsidR="00A26C77" w:rsidRDefault="00C53F87">
      <w:pPr>
        <w:pStyle w:val="ConsPlusNormal0"/>
        <w:spacing w:before="200"/>
        <w:ind w:firstLine="540"/>
        <w:jc w:val="both"/>
      </w:pPr>
      <w:r>
        <w:t>В случае если согласно техническим условиям необходимо строительство объектов "последней мили", для которых не устанавливались стандартизированные тарифные ставки на период регулирования, соответствующие стандартизированные тарифные ставки могут быть определены дополнительно в течение периода регулирования по обращению сетевой организации в течение 30 рабочих дней с даты обращения территориальной сетевой организации в орган исполнительной власти субъекта Российской Федерации в области государственного регулирования тарифов.</w:t>
      </w: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jc w:val="right"/>
        <w:outlineLvl w:val="0"/>
      </w:pPr>
      <w:r>
        <w:t>Приложение 3</w:t>
      </w:r>
    </w:p>
    <w:p w:rsidR="00A26C77" w:rsidRDefault="00C53F87">
      <w:pPr>
        <w:pStyle w:val="ConsPlusNormal0"/>
        <w:jc w:val="right"/>
      </w:pPr>
      <w:r>
        <w:t>к постановлению</w:t>
      </w:r>
    </w:p>
    <w:p w:rsidR="00A26C77" w:rsidRDefault="00C53F87">
      <w:pPr>
        <w:pStyle w:val="ConsPlusNormal0"/>
        <w:jc w:val="right"/>
      </w:pPr>
      <w:r>
        <w:t>Комитета по ценам и тарифам</w:t>
      </w:r>
    </w:p>
    <w:p w:rsidR="00A26C77" w:rsidRDefault="00C53F87">
      <w:pPr>
        <w:pStyle w:val="ConsPlusNormal0"/>
        <w:jc w:val="right"/>
      </w:pPr>
      <w:r>
        <w:t>Правительства Хабаровского края</w:t>
      </w:r>
    </w:p>
    <w:p w:rsidR="00A26C77" w:rsidRDefault="00C53F87">
      <w:pPr>
        <w:pStyle w:val="ConsPlusNormal0"/>
        <w:jc w:val="right"/>
      </w:pPr>
      <w:r>
        <w:t>от 28 ноября 2022 г. N 48/1</w:t>
      </w:r>
    </w:p>
    <w:p w:rsidR="00A26C77" w:rsidRDefault="00A26C77">
      <w:pPr>
        <w:pStyle w:val="ConsPlusNormal0"/>
        <w:jc w:val="both"/>
      </w:pPr>
    </w:p>
    <w:p w:rsidR="00A26C77" w:rsidRDefault="00C53F87">
      <w:pPr>
        <w:pStyle w:val="ConsPlusTitle0"/>
        <w:jc w:val="center"/>
      </w:pPr>
      <w:bookmarkStart w:id="7" w:name="P469"/>
      <w:bookmarkEnd w:id="7"/>
      <w:r>
        <w:t>ВЫПАДАЮЩИЕ ДОХОДЫ ТЕРРИТОРИАЛЬНЫХ СЕТЕВЫХ ОРГАНИЗАЦИЙ</w:t>
      </w:r>
    </w:p>
    <w:p w:rsidR="00A26C77" w:rsidRDefault="00C53F87">
      <w:pPr>
        <w:pStyle w:val="ConsPlusTitle0"/>
        <w:jc w:val="center"/>
      </w:pPr>
      <w:r>
        <w:t>НА ТЕРРИТОРИИ ХАБАРОВСКОГО КРАЯ, СВЯЗАННЫЕ С ОСУЩЕСТВЛЕНИЕМ</w:t>
      </w:r>
    </w:p>
    <w:p w:rsidR="00A26C77" w:rsidRDefault="00C53F87">
      <w:pPr>
        <w:pStyle w:val="ConsPlusTitle0"/>
        <w:jc w:val="center"/>
      </w:pPr>
      <w:r>
        <w:t>ТЕХНОЛОГИЧЕСКОГО ПРИСОЕДИНЕНИЯ К ЭЛЕКТРИЧЕСКИМ СЕТЯМ,</w:t>
      </w:r>
    </w:p>
    <w:p w:rsidR="00A26C77" w:rsidRDefault="00C53F87">
      <w:pPr>
        <w:pStyle w:val="ConsPlusTitle0"/>
        <w:jc w:val="center"/>
      </w:pPr>
      <w:r>
        <w:t>ВКЛЮЧАЕМЫЕ В ТАРИФ НА ОКАЗАНИЕ УСЛУГИ ПО ПЕРЕДАЧЕ</w:t>
      </w:r>
    </w:p>
    <w:p w:rsidR="00A26C77" w:rsidRDefault="00C53F87">
      <w:pPr>
        <w:pStyle w:val="ConsPlusTitle0"/>
        <w:jc w:val="center"/>
      </w:pPr>
      <w:r>
        <w:t>ЭЛЕКТРИЧЕСКОЙ ЭНЕРГИИ НА 2023 ГОД, (БЕЗ НДС)</w:t>
      </w:r>
    </w:p>
    <w:p w:rsidR="00A26C77" w:rsidRDefault="00A26C7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33"/>
        <w:gridCol w:w="1814"/>
      </w:tblGrid>
      <w:tr w:rsidR="00A26C77">
        <w:tc>
          <w:tcPr>
            <w:tcW w:w="62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633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Наименование территориальной сетевой организации</w:t>
            </w:r>
          </w:p>
        </w:tc>
        <w:tc>
          <w:tcPr>
            <w:tcW w:w="181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Выпадающие доходы, тыс. руб.</w:t>
            </w:r>
          </w:p>
        </w:tc>
      </w:tr>
      <w:tr w:rsidR="00A26C77">
        <w:tc>
          <w:tcPr>
            <w:tcW w:w="62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633" w:type="dxa"/>
            <w:vAlign w:val="center"/>
          </w:tcPr>
          <w:p w:rsidR="00A26C77" w:rsidRDefault="00C53F87">
            <w:pPr>
              <w:pStyle w:val="ConsPlusNormal0"/>
            </w:pPr>
            <w:r>
              <w:t>ООО "</w:t>
            </w:r>
            <w:proofErr w:type="spellStart"/>
            <w:r>
              <w:t>Трансэнерго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2 212,96</w:t>
            </w:r>
          </w:p>
        </w:tc>
      </w:tr>
      <w:tr w:rsidR="00A26C77">
        <w:tc>
          <w:tcPr>
            <w:tcW w:w="62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633" w:type="dxa"/>
            <w:vAlign w:val="center"/>
          </w:tcPr>
          <w:p w:rsidR="00A26C77" w:rsidRDefault="00C53F87">
            <w:pPr>
              <w:pStyle w:val="ConsPlusNormal0"/>
            </w:pPr>
            <w:r>
              <w:t>Филиал "Хабаровские электрические сети" АО "Дальневосточная распределительная сетевая компания"</w:t>
            </w:r>
          </w:p>
        </w:tc>
        <w:tc>
          <w:tcPr>
            <w:tcW w:w="181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91 378,99</w:t>
            </w:r>
          </w:p>
        </w:tc>
      </w:tr>
      <w:tr w:rsidR="00A26C77">
        <w:tc>
          <w:tcPr>
            <w:tcW w:w="62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633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АО "Хабаровская </w:t>
            </w:r>
            <w:proofErr w:type="spellStart"/>
            <w:r>
              <w:t>горэлектросеть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14 635,95</w:t>
            </w:r>
          </w:p>
        </w:tc>
      </w:tr>
      <w:tr w:rsidR="00A26C77">
        <w:tc>
          <w:tcPr>
            <w:tcW w:w="62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6633" w:type="dxa"/>
            <w:vAlign w:val="center"/>
          </w:tcPr>
          <w:p w:rsidR="00A26C77" w:rsidRDefault="00C53F87">
            <w:pPr>
              <w:pStyle w:val="ConsPlusNormal0"/>
            </w:pPr>
            <w:r>
              <w:t>МУП "Районные электрические сети" Хабаровского муниципального района Хабаровского края</w:t>
            </w:r>
          </w:p>
        </w:tc>
        <w:tc>
          <w:tcPr>
            <w:tcW w:w="181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352,5</w:t>
            </w:r>
          </w:p>
        </w:tc>
      </w:tr>
      <w:tr w:rsidR="00A26C77">
        <w:tc>
          <w:tcPr>
            <w:tcW w:w="62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633" w:type="dxa"/>
            <w:vAlign w:val="center"/>
          </w:tcPr>
          <w:p w:rsidR="00A26C77" w:rsidRDefault="00C53F87">
            <w:pPr>
              <w:pStyle w:val="ConsPlusNormal0"/>
            </w:pPr>
            <w:r>
              <w:t xml:space="preserve">Дальневосточная дирекция по энергообеспечению - СП </w:t>
            </w:r>
            <w:proofErr w:type="spellStart"/>
            <w:r>
              <w:t>Трансэнерго</w:t>
            </w:r>
            <w:proofErr w:type="spellEnd"/>
            <w:r>
              <w:t xml:space="preserve"> - филиал ОАО "РЖД"</w:t>
            </w:r>
          </w:p>
        </w:tc>
        <w:tc>
          <w:tcPr>
            <w:tcW w:w="181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2 394,69</w:t>
            </w:r>
          </w:p>
        </w:tc>
      </w:tr>
      <w:tr w:rsidR="00A26C77">
        <w:tc>
          <w:tcPr>
            <w:tcW w:w="62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633" w:type="dxa"/>
            <w:vAlign w:val="center"/>
          </w:tcPr>
          <w:p w:rsidR="00A26C77" w:rsidRDefault="00C53F87">
            <w:pPr>
              <w:pStyle w:val="ConsPlusNormal0"/>
            </w:pPr>
            <w:r>
              <w:t>Филиал "Дальневосточный" 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181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1 785,20</w:t>
            </w:r>
          </w:p>
        </w:tc>
      </w:tr>
      <w:tr w:rsidR="00A26C77">
        <w:tc>
          <w:tcPr>
            <w:tcW w:w="62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633" w:type="dxa"/>
            <w:vAlign w:val="center"/>
          </w:tcPr>
          <w:p w:rsidR="00A26C77" w:rsidRDefault="00C53F87">
            <w:pPr>
              <w:pStyle w:val="ConsPlusNormal0"/>
            </w:pPr>
            <w:r>
              <w:t>Муниципального унитарного производственного предприятия электрических сетей г. Комсомольска-на-Амуре</w:t>
            </w:r>
          </w:p>
        </w:tc>
        <w:tc>
          <w:tcPr>
            <w:tcW w:w="181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2 027,58</w:t>
            </w:r>
          </w:p>
        </w:tc>
      </w:tr>
      <w:tr w:rsidR="00A26C77">
        <w:tc>
          <w:tcPr>
            <w:tcW w:w="62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633" w:type="dxa"/>
            <w:vAlign w:val="center"/>
          </w:tcPr>
          <w:p w:rsidR="00A26C77" w:rsidRDefault="00C53F87">
            <w:pPr>
              <w:pStyle w:val="ConsPlusNormal0"/>
            </w:pPr>
            <w:r>
              <w:t>МУП Ванинского муниципального района "Электросеть"</w:t>
            </w:r>
          </w:p>
        </w:tc>
        <w:tc>
          <w:tcPr>
            <w:tcW w:w="1814" w:type="dxa"/>
            <w:vAlign w:val="center"/>
          </w:tcPr>
          <w:p w:rsidR="00A26C77" w:rsidRDefault="00C53F87">
            <w:pPr>
              <w:pStyle w:val="ConsPlusNormal0"/>
              <w:jc w:val="center"/>
            </w:pPr>
            <w:r>
              <w:t>695,4</w:t>
            </w:r>
          </w:p>
        </w:tc>
      </w:tr>
    </w:tbl>
    <w:p w:rsidR="00A26C77" w:rsidRDefault="00A26C77">
      <w:pPr>
        <w:pStyle w:val="ConsPlusNormal0"/>
        <w:jc w:val="both"/>
      </w:pPr>
    </w:p>
    <w:p w:rsidR="00A26C77" w:rsidRDefault="00C53F87">
      <w:pPr>
        <w:pStyle w:val="ConsPlusNormal0"/>
        <w:ind w:firstLine="540"/>
        <w:jc w:val="both"/>
      </w:pPr>
      <w:r>
        <w:t xml:space="preserve">Фактически понесенные расходы МУП "Генерирующие Электрические сети Нанайского муниципального района Хабаровского края", МУП "Электрические линии муниципального района имени Лазо", ПАО "Авиационная холдинговая компания "Сухой" (филиал "Комсомольский-на-Амуре авиационный завод имени </w:t>
      </w:r>
      <w:proofErr w:type="spellStart"/>
      <w:r>
        <w:t>Ю.А.Гагарина</w:t>
      </w:r>
      <w:proofErr w:type="spellEnd"/>
      <w:r>
        <w:t>"), ООО "Тунгусские Электрические Сети", связанные с осуществлением технологического присоединения к электрическим сетям и не включаемые в плату за технологическое присоединение, при представлении подтверждающих документов включить в тариф на оказание услуги по передаче электрической энергии в последующие периоды регулирования.</w:t>
      </w: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jc w:val="both"/>
      </w:pPr>
    </w:p>
    <w:p w:rsidR="00A26C77" w:rsidRDefault="00A26C7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6C77">
      <w:headerReference w:type="default" r:id="rId135"/>
      <w:footerReference w:type="default" r:id="rId136"/>
      <w:headerReference w:type="first" r:id="rId137"/>
      <w:footerReference w:type="first" r:id="rId138"/>
      <w:pgSz w:w="11906" w:h="16838"/>
      <w:pgMar w:top="1440" w:right="567" w:bottom="1440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0B" w:rsidRDefault="0008180B">
      <w:r>
        <w:separator/>
      </w:r>
    </w:p>
  </w:endnote>
  <w:endnote w:type="continuationSeparator" w:id="0">
    <w:p w:rsidR="0008180B" w:rsidRDefault="0008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77" w:rsidRDefault="00A26C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81"/>
      <w:gridCol w:w="3690"/>
      <w:gridCol w:w="3581"/>
    </w:tblGrid>
    <w:tr w:rsidR="00A26C77">
      <w:trPr>
        <w:trHeight w:hRule="exact" w:val="1663"/>
      </w:trPr>
      <w:tc>
        <w:tcPr>
          <w:tcW w:w="1650" w:type="pct"/>
          <w:vAlign w:val="center"/>
        </w:tcPr>
        <w:p w:rsidR="00A26C77" w:rsidRDefault="00C53F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26C77" w:rsidRDefault="0008180B">
          <w:pPr>
            <w:pStyle w:val="ConsPlusNormal0"/>
            <w:jc w:val="center"/>
          </w:pPr>
          <w:hyperlink r:id="rId1">
            <w:r w:rsidR="00C53F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26C77" w:rsidRDefault="00C53F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1545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1545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A26C77" w:rsidRDefault="00C53F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77" w:rsidRDefault="00A26C7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81"/>
      <w:gridCol w:w="3690"/>
      <w:gridCol w:w="3581"/>
    </w:tblGrid>
    <w:tr w:rsidR="00A26C77">
      <w:trPr>
        <w:trHeight w:hRule="exact" w:val="1663"/>
      </w:trPr>
      <w:tc>
        <w:tcPr>
          <w:tcW w:w="1650" w:type="pct"/>
          <w:vAlign w:val="center"/>
        </w:tcPr>
        <w:p w:rsidR="00A26C77" w:rsidRDefault="00C53F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26C77" w:rsidRDefault="0008180B">
          <w:pPr>
            <w:pStyle w:val="ConsPlusNormal0"/>
            <w:jc w:val="center"/>
          </w:pPr>
          <w:hyperlink r:id="rId1">
            <w:r w:rsidR="00C53F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26C77" w:rsidRDefault="00C53F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E154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E1545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A26C77" w:rsidRDefault="00C53F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0B" w:rsidRDefault="0008180B">
      <w:r>
        <w:separator/>
      </w:r>
    </w:p>
  </w:footnote>
  <w:footnote w:type="continuationSeparator" w:id="0">
    <w:p w:rsidR="0008180B" w:rsidRDefault="00081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60"/>
      <w:gridCol w:w="4992"/>
    </w:tblGrid>
    <w:tr w:rsidR="00A26C77">
      <w:trPr>
        <w:trHeight w:hRule="exact" w:val="1683"/>
      </w:trPr>
      <w:tc>
        <w:tcPr>
          <w:tcW w:w="2700" w:type="pct"/>
          <w:vAlign w:val="center"/>
        </w:tcPr>
        <w:p w:rsidR="00A26C77" w:rsidRDefault="00C53F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ценам и тарифам Правительства Хабаровского края от 28.11.2022 N 48/1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21.12.2022)</w:t>
          </w:r>
          <w:r>
            <w:rPr>
              <w:rFonts w:ascii="Tahoma" w:hAnsi="Tahoma" w:cs="Tahoma"/>
              <w:sz w:val="16"/>
              <w:szCs w:val="16"/>
            </w:rPr>
            <w:br/>
            <w:t>"Об ...</w:t>
          </w:r>
        </w:p>
      </w:tc>
      <w:tc>
        <w:tcPr>
          <w:tcW w:w="2300" w:type="pct"/>
          <w:vAlign w:val="center"/>
        </w:tcPr>
        <w:p w:rsidR="00A26C77" w:rsidRDefault="00C53F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26C77" w:rsidRDefault="00A26C7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26C77" w:rsidRDefault="00A26C7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60"/>
      <w:gridCol w:w="4992"/>
    </w:tblGrid>
    <w:tr w:rsidR="00A26C77">
      <w:trPr>
        <w:trHeight w:hRule="exact" w:val="1683"/>
      </w:trPr>
      <w:tc>
        <w:tcPr>
          <w:tcW w:w="2700" w:type="pct"/>
          <w:vAlign w:val="center"/>
        </w:tcPr>
        <w:p w:rsidR="00A26C77" w:rsidRDefault="00C53F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ценам и тарифам Правительства Хабаровского края от 28.11.2022 N 48/1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21.12.2022)</w:t>
          </w:r>
          <w:r>
            <w:rPr>
              <w:rFonts w:ascii="Tahoma" w:hAnsi="Tahoma" w:cs="Tahoma"/>
              <w:sz w:val="16"/>
              <w:szCs w:val="16"/>
            </w:rPr>
            <w:br/>
            <w:t>"Об ...</w:t>
          </w:r>
        </w:p>
      </w:tc>
      <w:tc>
        <w:tcPr>
          <w:tcW w:w="2300" w:type="pct"/>
          <w:vAlign w:val="center"/>
        </w:tcPr>
        <w:p w:rsidR="00A26C77" w:rsidRDefault="00C53F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A26C77" w:rsidRDefault="00A26C7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26C77" w:rsidRDefault="00A26C7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77"/>
    <w:rsid w:val="0008180B"/>
    <w:rsid w:val="00874C79"/>
    <w:rsid w:val="00A26C77"/>
    <w:rsid w:val="00BE1545"/>
    <w:rsid w:val="00C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54625-0ACE-4360-AA07-B24BAC9A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09C799CFD35DC140899CE9CCC13615AE883568DF4875C3CE5DFA9A6F3CB0D0373C2A58E34AB005E42A4214B4484C79347F2D18455FC5270X7fDA" TargetMode="External"/><Relationship Id="rId117" Type="http://schemas.openxmlformats.org/officeDocument/2006/relationships/image" Target="media/image52.wmf"/><Relationship Id="rId21" Type="http://schemas.openxmlformats.org/officeDocument/2006/relationships/hyperlink" Target="consultantplus://offline/ref=609C799CFD35DC140899CE9CCC13615AE883568CFA865C3CE5DFA9A6F3CB0D0373C2A58D3CA0540F0EFA781B00CFCA9359EED187X4f8A" TargetMode="External"/><Relationship Id="rId42" Type="http://schemas.openxmlformats.org/officeDocument/2006/relationships/hyperlink" Target="consultantplus://offline/ref=609C799CFD35DC140899CE9CCC13615AE8825287FA875C3CE5DFA9A6F3CB0D0373C2A58E34AA055E48A4214B4484C79347F2D18455FC5270X7fDA" TargetMode="External"/><Relationship Id="rId47" Type="http://schemas.openxmlformats.org/officeDocument/2006/relationships/hyperlink" Target="consultantplus://offline/ref=609C799CFD35DC140899CE9CCC13615AE8825287FA875C3CE5DFA9A6F3CB0D0373C2A58E34AA055E42A4214B4484C79347F2D18455FC5270X7fDA" TargetMode="External"/><Relationship Id="rId63" Type="http://schemas.openxmlformats.org/officeDocument/2006/relationships/hyperlink" Target="consultantplus://offline/ref=609C799CFD35DC140899CE9CCC13615AE882578DF78E5C3CE5DFA9A6F3CB0D0373C2A58E34AB00574CA4214B4484C79347F2D18455FC5270X7fDA" TargetMode="External"/><Relationship Id="rId68" Type="http://schemas.openxmlformats.org/officeDocument/2006/relationships/image" Target="media/image5.wmf"/><Relationship Id="rId84" Type="http://schemas.openxmlformats.org/officeDocument/2006/relationships/image" Target="media/image21.wmf"/><Relationship Id="rId89" Type="http://schemas.openxmlformats.org/officeDocument/2006/relationships/image" Target="media/image26.wmf"/><Relationship Id="rId112" Type="http://schemas.openxmlformats.org/officeDocument/2006/relationships/image" Target="media/image47.wmf"/><Relationship Id="rId133" Type="http://schemas.openxmlformats.org/officeDocument/2006/relationships/hyperlink" Target="consultantplus://offline/ref=609C799CFD35DC140899CE9CCC13615AE8835785F6865C3CE5DFA9A6F3CB0D0373C2A58E37A800551EFE314F0DD0CA8C47EDCF874BFCX5f1A" TargetMode="External"/><Relationship Id="rId138" Type="http://schemas.openxmlformats.org/officeDocument/2006/relationships/footer" Target="footer2.xml"/><Relationship Id="rId16" Type="http://schemas.openxmlformats.org/officeDocument/2006/relationships/hyperlink" Target="consultantplus://offline/ref=609C799CFD35DC140899CE9CCC13615AE8835382F08F5C3CE5DFA9A6F3CB0D0361C2FD8235AB1E5E4BB1771A02XDf2A" TargetMode="External"/><Relationship Id="rId107" Type="http://schemas.openxmlformats.org/officeDocument/2006/relationships/image" Target="media/image42.wmf"/><Relationship Id="rId11" Type="http://schemas.openxmlformats.org/officeDocument/2006/relationships/hyperlink" Target="consultantplus://offline/ref=609C799CFD35DC140899CE9CCC13615AE8825382FA845C3CE5DFA9A6F3CB0D0373C2A58B36AD0B0A1BEB201701D1D49246F2D38549XFfDA" TargetMode="External"/><Relationship Id="rId32" Type="http://schemas.openxmlformats.org/officeDocument/2006/relationships/hyperlink" Target="consultantplus://offline/ref=609C799CFD35DC140899CE9CCC13615AE8825287FA875C3CE5DFA9A6F3CB0D0373C2A58E34AA045649A4214B4484C79347F2D18455FC5270X7fDA" TargetMode="External"/><Relationship Id="rId37" Type="http://schemas.openxmlformats.org/officeDocument/2006/relationships/hyperlink" Target="consultantplus://offline/ref=609C799CFD35DC140899CE9CCC13615AE8825287FA875C3CE5DFA9A6F3CB0D0373C2A58E34AA055E4EA4214B4484C79347F2D18455FC5270X7fDA" TargetMode="External"/><Relationship Id="rId53" Type="http://schemas.openxmlformats.org/officeDocument/2006/relationships/hyperlink" Target="consultantplus://offline/ref=609C799CFD35DC140899CE8ADF7F3F56ED8B0D88F3805269B08CAFF1AC9B0B563382A3DB65EF55534BAF6B1A01CFC89245XEfFA" TargetMode="External"/><Relationship Id="rId58" Type="http://schemas.openxmlformats.org/officeDocument/2006/relationships/hyperlink" Target="consultantplus://offline/ref=609C799CFD35DC140899CE8ADF7F3F56ED8B0D88F380506ABD88AFF1AC9B0B563382A3DB65EF55534BAF6B1A01CFC89245XEfFA" TargetMode="External"/><Relationship Id="rId74" Type="http://schemas.openxmlformats.org/officeDocument/2006/relationships/image" Target="media/image11.wmf"/><Relationship Id="rId79" Type="http://schemas.openxmlformats.org/officeDocument/2006/relationships/image" Target="media/image16.wmf"/><Relationship Id="rId102" Type="http://schemas.openxmlformats.org/officeDocument/2006/relationships/image" Target="media/image38.wmf"/><Relationship Id="rId123" Type="http://schemas.openxmlformats.org/officeDocument/2006/relationships/image" Target="media/image58.wmf"/><Relationship Id="rId128" Type="http://schemas.openxmlformats.org/officeDocument/2006/relationships/image" Target="media/image62.wmf"/><Relationship Id="rId5" Type="http://schemas.openxmlformats.org/officeDocument/2006/relationships/endnotes" Target="endnotes.xml"/><Relationship Id="rId90" Type="http://schemas.openxmlformats.org/officeDocument/2006/relationships/image" Target="media/image27.wmf"/><Relationship Id="rId95" Type="http://schemas.openxmlformats.org/officeDocument/2006/relationships/image" Target="media/image32.wmf"/><Relationship Id="rId22" Type="http://schemas.openxmlformats.org/officeDocument/2006/relationships/hyperlink" Target="consultantplus://offline/ref=609C799CFD35DC140899CE9CCC13615AE883568CFA865C3CE5DFA9A6F3CB0D0373C2A58A3CA0540F0EFA781B00CFCA9359EED187X4f8A" TargetMode="External"/><Relationship Id="rId27" Type="http://schemas.openxmlformats.org/officeDocument/2006/relationships/hyperlink" Target="consultantplus://offline/ref=609C799CFD35DC140899CE9CCC13615AE883568DF78F5C3CE5DFA9A6F3CB0D0373C2A58A3FFF511A1FA2741A1ED1CB8C45ECD3X8f6A" TargetMode="External"/><Relationship Id="rId43" Type="http://schemas.openxmlformats.org/officeDocument/2006/relationships/hyperlink" Target="consultantplus://offline/ref=609C799CFD35DC140899CE9CCC13615AE8825287FA875C3CE5DFA9A6F3CB0D0373C2A58E34AA055E42A4214B4484C79347F2D18455FC5270X7fDA" TargetMode="External"/><Relationship Id="rId48" Type="http://schemas.openxmlformats.org/officeDocument/2006/relationships/hyperlink" Target="consultantplus://offline/ref=609C799CFD35DC140899CE8ADF7F3F56ED8B0D88F3805F6DB88CAFF1AC9B0B563382A3DB65EF55534BAF6B1A01CFC89245XEfFA" TargetMode="External"/><Relationship Id="rId64" Type="http://schemas.openxmlformats.org/officeDocument/2006/relationships/hyperlink" Target="consultantplus://offline/ref=609C799CFD35DC140899CE9CCC13615AE882578DF78E5C3CE5DFA9A6F3CB0D0373C2A58E34AB00574DA4214B4484C79347F2D18455FC5270X7fDA" TargetMode="External"/><Relationship Id="rId69" Type="http://schemas.openxmlformats.org/officeDocument/2006/relationships/image" Target="media/image6.wmf"/><Relationship Id="rId113" Type="http://schemas.openxmlformats.org/officeDocument/2006/relationships/image" Target="media/image48.wmf"/><Relationship Id="rId118" Type="http://schemas.openxmlformats.org/officeDocument/2006/relationships/image" Target="media/image53.wmf"/><Relationship Id="rId134" Type="http://schemas.openxmlformats.org/officeDocument/2006/relationships/hyperlink" Target="consultantplus://offline/ref=609C799CFD35DC140899CE9CCC13615AE8835785F6865C3CE5DFA9A6F3CB0D0373C2A58E37A800551EFE314F0DD0CA8C47EDCF874BFCX5f1A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609C799CFD35DC140899CE8ADF7F3F56ED8B0D88F380536CBD8EAFF1AC9B0B563382A3DB65EF55534BAF6B1A01CFC89245XEfFA" TargetMode="External"/><Relationship Id="rId72" Type="http://schemas.openxmlformats.org/officeDocument/2006/relationships/image" Target="media/image9.wmf"/><Relationship Id="rId80" Type="http://schemas.openxmlformats.org/officeDocument/2006/relationships/image" Target="media/image17.wmf"/><Relationship Id="rId85" Type="http://schemas.openxmlformats.org/officeDocument/2006/relationships/image" Target="media/image22.wmf"/><Relationship Id="rId93" Type="http://schemas.openxmlformats.org/officeDocument/2006/relationships/image" Target="media/image30.wmf"/><Relationship Id="rId98" Type="http://schemas.openxmlformats.org/officeDocument/2006/relationships/image" Target="media/image34.wmf"/><Relationship Id="rId121" Type="http://schemas.openxmlformats.org/officeDocument/2006/relationships/image" Target="media/image56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9C799CFD35DC140899CE9CCC13615AE8825287FA875C3CE5DFA9A6F3CB0D0373C2A58E34AA045649A4214B4484C79347F2D18455FC5270X7fDA" TargetMode="External"/><Relationship Id="rId17" Type="http://schemas.openxmlformats.org/officeDocument/2006/relationships/hyperlink" Target="consultantplus://offline/ref=609C799CFD35DC140899CE9CCC13615AE882578DF78E5C3CE5DFA9A6F3CB0D0361C2FD8235AB1E5E4BB1771A02XDf2A" TargetMode="External"/><Relationship Id="rId25" Type="http://schemas.openxmlformats.org/officeDocument/2006/relationships/hyperlink" Target="consultantplus://offline/ref=609C799CFD35DC140899CE9CCC13615AE883568DFA805C3CE5DFA9A6F3CB0D0373C2A58D33AA0B0A1BEB201701D1D49246F2D38549XFfDA" TargetMode="External"/><Relationship Id="rId33" Type="http://schemas.openxmlformats.org/officeDocument/2006/relationships/hyperlink" Target="consultantplus://offline/ref=609C799CFD35DC140899CE9CCC13615AE8825287FA875C3CE5DFA9A6F3CB0D0373C2A58E34AA055E4EA4214B4484C79347F2D18455FC5270X7fDA" TargetMode="External"/><Relationship Id="rId38" Type="http://schemas.openxmlformats.org/officeDocument/2006/relationships/hyperlink" Target="consultantplus://offline/ref=609C799CFD35DC140899CE9CCC13615AE8825287FA875C3CE5DFA9A6F3CB0D0373C2A58E34AA055E42A4214B4484C79347F2D18455FC5270X7fDA" TargetMode="External"/><Relationship Id="rId46" Type="http://schemas.openxmlformats.org/officeDocument/2006/relationships/hyperlink" Target="consultantplus://offline/ref=609C799CFD35DC140899CE9CCC13615AE8825287FA875C3CE5DFA9A6F3CB0D0373C2A58E34AB07594CA4214B4484C79347F2D18455FC5270X7fDA" TargetMode="External"/><Relationship Id="rId59" Type="http://schemas.openxmlformats.org/officeDocument/2006/relationships/hyperlink" Target="consultantplus://offline/ref=609C799CFD35DC140899CE8ADF7F3F56ED8B0D88F3805062B98CAFF1AC9B0B563382A3DB65EF55534BAF6B1A01CFC89245XEfFA" TargetMode="External"/><Relationship Id="rId67" Type="http://schemas.openxmlformats.org/officeDocument/2006/relationships/image" Target="media/image4.wmf"/><Relationship Id="rId103" Type="http://schemas.openxmlformats.org/officeDocument/2006/relationships/image" Target="media/image39.wmf"/><Relationship Id="rId108" Type="http://schemas.openxmlformats.org/officeDocument/2006/relationships/image" Target="media/image43.wmf"/><Relationship Id="rId116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hyperlink" Target="consultantplus://offline/ref=609C799CFD35DC140899CE8ADF7F3F56ED8B0D88F381566CB18EAFF1AC9B0B563382A3DB77EF0D5F4AAF751B08DA9EC303B9DC844BE05273605B321FX6f3A" TargetMode="External"/><Relationship Id="rId137" Type="http://schemas.openxmlformats.org/officeDocument/2006/relationships/header" Target="header2.xml"/><Relationship Id="rId20" Type="http://schemas.openxmlformats.org/officeDocument/2006/relationships/hyperlink" Target="consultantplus://offline/ref=609C799CFD35DC140899CE9CCC13615AE8835585F7815C3CE5DFA9A6F3CB0D0373C2A58E3DA0540F0EFA781B00CFCA9359EED187X4f8A" TargetMode="External"/><Relationship Id="rId41" Type="http://schemas.openxmlformats.org/officeDocument/2006/relationships/hyperlink" Target="consultantplus://offline/ref=609C799CFD35DC140899CE9CCC13615AE8825287FA875C3CE5DFA9A6F3CB0D0373C2A58E34AA04564DA4214B4484C79347F2D18455FC5270X7fDA" TargetMode="External"/><Relationship Id="rId54" Type="http://schemas.openxmlformats.org/officeDocument/2006/relationships/hyperlink" Target="consultantplus://offline/ref=609C799CFD35DC140899CE8ADF7F3F56ED8B0D88F380526CB18DAFF1AC9B0B563382A3DB65EF55534BAF6B1A01CFC89245XEfFA" TargetMode="External"/><Relationship Id="rId62" Type="http://schemas.openxmlformats.org/officeDocument/2006/relationships/hyperlink" Target="consultantplus://offline/ref=609C799CFD35DC140899CE8ADF7F3F56ED8B0D88F381566CB18EAFF1AC9B0B563382A3DB77EF0D5F4AAF751A06DA9EC303B9DC844BE05273605B321FX6f3A" TargetMode="External"/><Relationship Id="rId70" Type="http://schemas.openxmlformats.org/officeDocument/2006/relationships/image" Target="media/image7.wmf"/><Relationship Id="rId75" Type="http://schemas.openxmlformats.org/officeDocument/2006/relationships/image" Target="media/image12.wmf"/><Relationship Id="rId83" Type="http://schemas.openxmlformats.org/officeDocument/2006/relationships/image" Target="media/image20.wmf"/><Relationship Id="rId88" Type="http://schemas.openxmlformats.org/officeDocument/2006/relationships/image" Target="media/image25.wmf"/><Relationship Id="rId91" Type="http://schemas.openxmlformats.org/officeDocument/2006/relationships/image" Target="media/image28.wmf"/><Relationship Id="rId96" Type="http://schemas.openxmlformats.org/officeDocument/2006/relationships/hyperlink" Target="consultantplus://offline/ref=609C799CFD35DC140899CE8ADF7F3F56ED8B0D88F381566CB18EAFF1AC9B0B563382A3DB77EF0D5F4AAF751A06DA9EC303B9DC844BE05273605B321FX6f3A" TargetMode="External"/><Relationship Id="rId111" Type="http://schemas.openxmlformats.org/officeDocument/2006/relationships/image" Target="media/image46.wmf"/><Relationship Id="rId132" Type="http://schemas.openxmlformats.org/officeDocument/2006/relationships/hyperlink" Target="consultantplus://offline/ref=609C799CFD35DC140899CE9CCC13615AE8835785F6865C3CE5DFA9A6F3CB0D0373C2A58E37A800551EFE314F0DD0CA8C47EDCF874BFCX5f1A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609C799CFD35DC140899CE9CCC13615AE8815B8CF5835C3CE5DFA9A6F3CB0D0361C2FD8235AB1E5E4BB1771A02XDf2A" TargetMode="External"/><Relationship Id="rId23" Type="http://schemas.openxmlformats.org/officeDocument/2006/relationships/hyperlink" Target="consultantplus://offline/ref=609C799CFD35DC140899CE9CCC13615AE883568CFA865C3CE5DFA9A6F3CB0D0373C2A58E34AB055F49A4214B4484C79347F2D18455FC5270X7fDA" TargetMode="External"/><Relationship Id="rId28" Type="http://schemas.openxmlformats.org/officeDocument/2006/relationships/hyperlink" Target="consultantplus://offline/ref=609C799CFD35DC140899CE9CCC13615AE882538CF1835C3CE5DFA9A6F3CB0D0373C2A58E34AE095E4EA4214B4484C79347F2D18455FC5270X7fDA" TargetMode="External"/><Relationship Id="rId36" Type="http://schemas.openxmlformats.org/officeDocument/2006/relationships/hyperlink" Target="consultantplus://offline/ref=609C799CFD35DC140899CE9CCC13615AE8825287FA875C3CE5DFA9A6F3CB0D0373C2A58E34AA045649A4214B4484C79347F2D18455FC5270X7fDA" TargetMode="External"/><Relationship Id="rId49" Type="http://schemas.openxmlformats.org/officeDocument/2006/relationships/hyperlink" Target="consultantplus://offline/ref=609C799CFD35DC140899CE8ADF7F3F56ED8B0D88F3805469BB83AFF1AC9B0B563382A3DB65EF55534BAF6B1A01CFC89245XEfFA" TargetMode="External"/><Relationship Id="rId57" Type="http://schemas.openxmlformats.org/officeDocument/2006/relationships/hyperlink" Target="consultantplus://offline/ref=609C799CFD35DC140899CE8ADF7F3F56ED8B0D88F380516FBF8AAFF1AC9B0B563382A3DB65EF55534BAF6B1A01CFC89245XEfFA" TargetMode="External"/><Relationship Id="rId106" Type="http://schemas.openxmlformats.org/officeDocument/2006/relationships/image" Target="media/image41.wmf"/><Relationship Id="rId114" Type="http://schemas.openxmlformats.org/officeDocument/2006/relationships/image" Target="media/image49.wmf"/><Relationship Id="rId119" Type="http://schemas.openxmlformats.org/officeDocument/2006/relationships/image" Target="media/image54.wmf"/><Relationship Id="rId127" Type="http://schemas.openxmlformats.org/officeDocument/2006/relationships/image" Target="media/image61.wmf"/><Relationship Id="rId10" Type="http://schemas.openxmlformats.org/officeDocument/2006/relationships/hyperlink" Target="consultantplus://offline/ref=609C799CFD35DC140899CE8ADF7F3F56ED8B0D88F381566CB18EAFF1AC9B0B563382A3DB77EF0D5F4AAF751A05DA9EC303B9DC844BE05273605B321FX6f3A" TargetMode="External"/><Relationship Id="rId31" Type="http://schemas.openxmlformats.org/officeDocument/2006/relationships/hyperlink" Target="consultantplus://offline/ref=609C799CFD35DC140899CE9CCC13615AED88528CF5815C3CE5DFA9A6F3CB0D0373C2A58B3FFF511A1FA2741A1ED1CB8C45ECD3X8f6A" TargetMode="External"/><Relationship Id="rId44" Type="http://schemas.openxmlformats.org/officeDocument/2006/relationships/hyperlink" Target="consultantplus://offline/ref=609C799CFD35DC140899CE9CCC13615AE8825287FA875C3CE5DFA9A6F3CB0D0373C2A58E34AB07594CA4214B4484C79347F2D18455FC5270X7fDA" TargetMode="External"/><Relationship Id="rId52" Type="http://schemas.openxmlformats.org/officeDocument/2006/relationships/hyperlink" Target="consultantplus://offline/ref=609C799CFD35DC140899CE8ADF7F3F56ED8B0D88F3805362B98EAFF1AC9B0B563382A3DB65EF55534BAF6B1A01CFC89245XEfFA" TargetMode="External"/><Relationship Id="rId60" Type="http://schemas.openxmlformats.org/officeDocument/2006/relationships/hyperlink" Target="consultantplus://offline/ref=609C799CFD35DC140899CE8ADF7F3F56ED8B0D88F3805F6CB188AFF1AC9B0B563382A3DB65EF55534BAF6B1A01CFC89245XEfFA" TargetMode="External"/><Relationship Id="rId65" Type="http://schemas.openxmlformats.org/officeDocument/2006/relationships/image" Target="media/image2.wmf"/><Relationship Id="rId73" Type="http://schemas.openxmlformats.org/officeDocument/2006/relationships/image" Target="media/image10.wmf"/><Relationship Id="rId78" Type="http://schemas.openxmlformats.org/officeDocument/2006/relationships/image" Target="media/image15.wmf"/><Relationship Id="rId81" Type="http://schemas.openxmlformats.org/officeDocument/2006/relationships/image" Target="media/image18.wmf"/><Relationship Id="rId86" Type="http://schemas.openxmlformats.org/officeDocument/2006/relationships/image" Target="media/image23.wmf"/><Relationship Id="rId94" Type="http://schemas.openxmlformats.org/officeDocument/2006/relationships/image" Target="media/image31.wmf"/><Relationship Id="rId99" Type="http://schemas.openxmlformats.org/officeDocument/2006/relationships/image" Target="media/image35.wmf"/><Relationship Id="rId101" Type="http://schemas.openxmlformats.org/officeDocument/2006/relationships/image" Target="media/image37.wmf"/><Relationship Id="rId122" Type="http://schemas.openxmlformats.org/officeDocument/2006/relationships/image" Target="media/image57.wmf"/><Relationship Id="rId130" Type="http://schemas.openxmlformats.org/officeDocument/2006/relationships/hyperlink" Target="consultantplus://offline/ref=609C799CFD35DC140899CE9CCC13615AE882578DF78E5C3CE5DFA9A6F3CB0D0373C2A58E34AB00584AA4214B4484C79347F2D18455FC5270X7fDA" TargetMode="External"/><Relationship Id="rId13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9C799CFD35DC140899CE8ADF7F3F56ED8B0D88F381566EBA8AAFF1AC9B0B563382A3DB77EF0D5F4AAF751A05DA9EC303B9DC844BE05273605B321FX6f3A" TargetMode="External"/><Relationship Id="rId13" Type="http://schemas.openxmlformats.org/officeDocument/2006/relationships/hyperlink" Target="consultantplus://offline/ref=609C799CFD35DC140899CE9CCC13615AE8835785F6865C3CE5DFA9A6F3CB0D0373C2A58E34AB015E4CA4214B4484C79347F2D18455FC5270X7fDA" TargetMode="External"/><Relationship Id="rId18" Type="http://schemas.openxmlformats.org/officeDocument/2006/relationships/hyperlink" Target="consultantplus://offline/ref=609C799CFD35DC140899CE8ADF7F3F56ED8B0D88F3835169BA8BAFF1AC9B0B563382A3DB77EF0D5F4AAF751F07DA9EC303B9DC844BE05273605B321FX6f3A" TargetMode="External"/><Relationship Id="rId39" Type="http://schemas.openxmlformats.org/officeDocument/2006/relationships/hyperlink" Target="consultantplus://offline/ref=609C799CFD35DC140899CE9CCC13615AE8825287FA875C3CE5DFA9A6F3CB0D0373C2A58E34AA045649A4214B4484C79347F2D18455FC5270X7fDA" TargetMode="External"/><Relationship Id="rId109" Type="http://schemas.openxmlformats.org/officeDocument/2006/relationships/image" Target="media/image44.wmf"/><Relationship Id="rId34" Type="http://schemas.openxmlformats.org/officeDocument/2006/relationships/hyperlink" Target="consultantplus://offline/ref=609C799CFD35DC140899CE9CCC13615AE8825287FA875C3CE5DFA9A6F3CB0D0373C2A58E34AA055E42A4214B4484C79347F2D18455FC5270X7fDA" TargetMode="External"/><Relationship Id="rId50" Type="http://schemas.openxmlformats.org/officeDocument/2006/relationships/hyperlink" Target="consultantplus://offline/ref=609C799CFD35DC140899CE8ADF7F3F56ED8B0D88F380546CB08EAFF1AC9B0B563382A3DB65EF55534BAF6B1A01CFC89245XEfFA" TargetMode="External"/><Relationship Id="rId55" Type="http://schemas.openxmlformats.org/officeDocument/2006/relationships/hyperlink" Target="consultantplus://offline/ref=609C799CFD35DC140899CE8ADF7F3F56ED8B0D88F3805263B889AFF1AC9B0B563382A3DB65EF55534BAF6B1A01CFC89245XEfFA" TargetMode="External"/><Relationship Id="rId76" Type="http://schemas.openxmlformats.org/officeDocument/2006/relationships/image" Target="media/image13.wmf"/><Relationship Id="rId97" Type="http://schemas.openxmlformats.org/officeDocument/2006/relationships/image" Target="media/image33.wmf"/><Relationship Id="rId104" Type="http://schemas.openxmlformats.org/officeDocument/2006/relationships/hyperlink" Target="consultantplus://offline/ref=609C799CFD35DC140899CE8ADF7F3F56ED8B0D88F381566CB18EAFF1AC9B0B563382A3DB77EF0D5F4AAF751B03DA9EC303B9DC844BE05273605B321FX6f3A" TargetMode="External"/><Relationship Id="rId120" Type="http://schemas.openxmlformats.org/officeDocument/2006/relationships/image" Target="media/image55.wmf"/><Relationship Id="rId125" Type="http://schemas.openxmlformats.org/officeDocument/2006/relationships/image" Target="media/image60.wmf"/><Relationship Id="rId7" Type="http://schemas.openxmlformats.org/officeDocument/2006/relationships/hyperlink" Target="https://www.consultant.ru" TargetMode="External"/><Relationship Id="rId71" Type="http://schemas.openxmlformats.org/officeDocument/2006/relationships/image" Target="media/image8.wmf"/><Relationship Id="rId92" Type="http://schemas.openxmlformats.org/officeDocument/2006/relationships/image" Target="media/image29.wmf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09C799CFD35DC140899CE9CCC13615AE8815281F38D0136ED86A5A4F4C4520674D3A58E34B5005F54AD7518X0f3A" TargetMode="External"/><Relationship Id="rId24" Type="http://schemas.openxmlformats.org/officeDocument/2006/relationships/hyperlink" Target="consultantplus://offline/ref=609C799CFD35DC140899CE9CCC13615AE883568CFA865C3CE5DFA9A6F3CB0D0373C2A58E35AF0B0A1BEB201701D1D49246F2D38549XFfDA" TargetMode="External"/><Relationship Id="rId40" Type="http://schemas.openxmlformats.org/officeDocument/2006/relationships/hyperlink" Target="consultantplus://offline/ref=609C799CFD35DC140899CE9CCC13615AE8825287FA875C3CE5DFA9A6F3CB0D0373C2A58E34AA04564CA4214B4484C79347F2D18455FC5270X7fDA" TargetMode="External"/><Relationship Id="rId45" Type="http://schemas.openxmlformats.org/officeDocument/2006/relationships/hyperlink" Target="consultantplus://offline/ref=609C799CFD35DC140899CE9CCC13615AE8825287FA875C3CE5DFA9A6F3CB0D0373C2A58E34AA035E4EA4214B4484C79347F2D18455FC5270X7fDA" TargetMode="External"/><Relationship Id="rId66" Type="http://schemas.openxmlformats.org/officeDocument/2006/relationships/image" Target="media/image3.wmf"/><Relationship Id="rId87" Type="http://schemas.openxmlformats.org/officeDocument/2006/relationships/image" Target="media/image24.wmf"/><Relationship Id="rId110" Type="http://schemas.openxmlformats.org/officeDocument/2006/relationships/image" Target="media/image45.wmf"/><Relationship Id="rId115" Type="http://schemas.openxmlformats.org/officeDocument/2006/relationships/image" Target="media/image50.wmf"/><Relationship Id="rId131" Type="http://schemas.openxmlformats.org/officeDocument/2006/relationships/hyperlink" Target="consultantplus://offline/ref=609C799CFD35DC140899CE9CCC13615AE882578DF78E5C3CE5DFA9A6F3CB0D0373C2A58E34AB005848A4214B4484C79347F2D18455FC5270X7fDA" TargetMode="External"/><Relationship Id="rId136" Type="http://schemas.openxmlformats.org/officeDocument/2006/relationships/footer" Target="footer1.xml"/><Relationship Id="rId61" Type="http://schemas.openxmlformats.org/officeDocument/2006/relationships/hyperlink" Target="consultantplus://offline/ref=609C799CFD35DC140899CE8ADF7F3F56ED8B0D88F381566EBA8AAFF1AC9B0B563382A3DB77EF0D5F4AAF751A06DA9EC303B9DC844BE05273605B321FX6f3A" TargetMode="External"/><Relationship Id="rId82" Type="http://schemas.openxmlformats.org/officeDocument/2006/relationships/image" Target="media/image19.wmf"/><Relationship Id="rId19" Type="http://schemas.openxmlformats.org/officeDocument/2006/relationships/hyperlink" Target="consultantplus://offline/ref=609C799CFD35DC140899CE9CCC13615AEF87518DF4865C3CE5DFA9A6F3CB0D0373C2A58E34AB005842A4214B4484C79347F2D18455FC5270X7fDA" TargetMode="External"/><Relationship Id="rId14" Type="http://schemas.openxmlformats.org/officeDocument/2006/relationships/hyperlink" Target="consultantplus://offline/ref=609C799CFD35DC140899CE9CCC13615AE8835287F6815C3CE5DFA9A6F3CB0D0373C2A58E34AB005C4DA4214B4484C79347F2D18455FC5270X7fDA" TargetMode="External"/><Relationship Id="rId30" Type="http://schemas.openxmlformats.org/officeDocument/2006/relationships/hyperlink" Target="consultantplus://offline/ref=609C799CFD35DC140899CE9CCC13615AED88528CF5815C3CE5DFA9A6F3CB0D0373C2A58E34AB005E4FA4214B4484C79347F2D18455FC5270X7fDA" TargetMode="External"/><Relationship Id="rId35" Type="http://schemas.openxmlformats.org/officeDocument/2006/relationships/hyperlink" Target="consultantplus://offline/ref=609C799CFD35DC140899CE9CCC13615AE8825287FA875C3CE5DFA9A6F3CB0D0373C2A58E34AA035E4EA4214B4484C79347F2D18455FC5270X7fDA" TargetMode="External"/><Relationship Id="rId56" Type="http://schemas.openxmlformats.org/officeDocument/2006/relationships/hyperlink" Target="consultantplus://offline/ref=609C799CFD35DC140899CE8ADF7F3F56ED8B0D88F380516EB08DAFF1AC9B0B563382A3DB65EF55534BAF6B1A01CFC89245XEfFA" TargetMode="External"/><Relationship Id="rId77" Type="http://schemas.openxmlformats.org/officeDocument/2006/relationships/image" Target="media/image14.wmf"/><Relationship Id="rId100" Type="http://schemas.openxmlformats.org/officeDocument/2006/relationships/image" Target="media/image36.wmf"/><Relationship Id="rId105" Type="http://schemas.openxmlformats.org/officeDocument/2006/relationships/image" Target="media/image40.wmf"/><Relationship Id="rId126" Type="http://schemas.openxmlformats.org/officeDocument/2006/relationships/hyperlink" Target="consultantplus://offline/ref=609C799CFD35DC140899CE8ADF7F3F56ED8B0D88F381566EBA8AAFF1AC9B0B563382A3DB77EF0D5F4AAF751A06DA9EC303B9DC844BE05273605B321FX6f3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10560</Words>
  <Characters>60197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Комитета по ценам и тарифам Правительства Хабаровского края от 28.11.2022 N 48/1
(ред. от 21.12.2022)
"Об установлении размера единых стандартизированных тарифных ставок и формул платы за технологическое присоединение энергопринимающих устро</vt:lpstr>
    </vt:vector>
  </TitlesOfParts>
  <Company>КонсультантПлюс Версия 4022.00.55</Company>
  <LinksUpToDate>false</LinksUpToDate>
  <CharactersWithSpaces>70616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Комитета по ценам и тарифам Правительства Хабаровского края от 28.11.2022 N 48/1
(ред. от 21.12.2022)
"Об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год"</dc:title>
  <dc:creator>SorokinS</dc:creator>
  <cp:lastModifiedBy>SorokinS</cp:lastModifiedBy>
  <cp:revision>3</cp:revision>
  <dcterms:created xsi:type="dcterms:W3CDTF">2023-01-11T04:46:00Z</dcterms:created>
  <dcterms:modified xsi:type="dcterms:W3CDTF">2023-01-11T04:46:00Z</dcterms:modified>
</cp:coreProperties>
</file>